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63575" w14:textId="77777777" w:rsidR="00E907CE" w:rsidRPr="004D30A1" w:rsidRDefault="005B05F1" w:rsidP="005B05F1">
      <w:pPr>
        <w:jc w:val="center"/>
        <w:rPr>
          <w:rFonts w:ascii="Times New Roman" w:hAnsi="Times New Roman" w:cs="Times New Roman"/>
          <w:sz w:val="24"/>
          <w:szCs w:val="24"/>
        </w:rPr>
      </w:pPr>
      <w:r w:rsidRPr="004D30A1">
        <w:rPr>
          <w:rFonts w:ascii="Times New Roman" w:hAnsi="Times New Roman" w:cs="Times New Roman"/>
          <w:sz w:val="24"/>
          <w:szCs w:val="24"/>
        </w:rPr>
        <w:t>UNITED STATES DISTRICT COURT</w:t>
      </w:r>
    </w:p>
    <w:p w14:paraId="3B3DACDC" w14:textId="77777777" w:rsidR="005B05F1" w:rsidRPr="004D30A1" w:rsidRDefault="005B05F1" w:rsidP="005B05F1">
      <w:pPr>
        <w:jc w:val="center"/>
        <w:rPr>
          <w:rFonts w:ascii="Times New Roman" w:hAnsi="Times New Roman" w:cs="Times New Roman"/>
          <w:sz w:val="24"/>
          <w:szCs w:val="24"/>
        </w:rPr>
      </w:pPr>
      <w:r w:rsidRPr="004D30A1">
        <w:rPr>
          <w:rFonts w:ascii="Times New Roman" w:hAnsi="Times New Roman" w:cs="Times New Roman"/>
          <w:sz w:val="24"/>
          <w:szCs w:val="24"/>
        </w:rPr>
        <w:t>DISTRICT OF MOOT</w:t>
      </w:r>
    </w:p>
    <w:p w14:paraId="481D4837" w14:textId="77777777" w:rsidR="005B05F1" w:rsidRPr="004D30A1" w:rsidRDefault="005B05F1" w:rsidP="005B05F1">
      <w:pPr>
        <w:jc w:val="center"/>
        <w:rPr>
          <w:rFonts w:ascii="Times New Roman" w:hAnsi="Times New Roman" w:cs="Times New Roman"/>
          <w:sz w:val="24"/>
          <w:szCs w:val="24"/>
        </w:rPr>
      </w:pPr>
    </w:p>
    <w:p w14:paraId="26684D15" w14:textId="77777777" w:rsidR="005B05F1" w:rsidRPr="004D30A1" w:rsidRDefault="005B05F1" w:rsidP="005B05F1">
      <w:pPr>
        <w:rPr>
          <w:rFonts w:ascii="Times New Roman" w:hAnsi="Times New Roman" w:cs="Times New Roman"/>
          <w:sz w:val="24"/>
          <w:szCs w:val="24"/>
        </w:rPr>
      </w:pPr>
      <w:r w:rsidRPr="004D30A1">
        <w:rPr>
          <w:rFonts w:ascii="Times New Roman" w:hAnsi="Times New Roman" w:cs="Times New Roman"/>
          <w:sz w:val="24"/>
          <w:szCs w:val="24"/>
        </w:rPr>
        <w:t>OGS TV, Inc.</w:t>
      </w:r>
    </w:p>
    <w:p w14:paraId="0A61F613" w14:textId="77777777" w:rsidR="005B05F1" w:rsidRPr="004D30A1" w:rsidRDefault="005B05F1" w:rsidP="005B05F1">
      <w:pPr>
        <w:rPr>
          <w:rFonts w:ascii="Times New Roman" w:hAnsi="Times New Roman" w:cs="Times New Roman"/>
          <w:sz w:val="24"/>
          <w:szCs w:val="24"/>
        </w:rPr>
      </w:pPr>
      <w:r w:rsidRPr="004D30A1">
        <w:rPr>
          <w:rFonts w:ascii="Times New Roman" w:hAnsi="Times New Roman" w:cs="Times New Roman"/>
          <w:sz w:val="24"/>
          <w:szCs w:val="24"/>
        </w:rPr>
        <w:tab/>
      </w:r>
      <w:r w:rsidRPr="004D30A1">
        <w:rPr>
          <w:rFonts w:ascii="Times New Roman" w:hAnsi="Times New Roman" w:cs="Times New Roman"/>
          <w:sz w:val="24"/>
          <w:szCs w:val="24"/>
        </w:rPr>
        <w:tab/>
        <w:t>Plaintiff,</w:t>
      </w:r>
      <w:r w:rsidRPr="004D30A1">
        <w:rPr>
          <w:rFonts w:ascii="Times New Roman" w:hAnsi="Times New Roman" w:cs="Times New Roman"/>
          <w:sz w:val="24"/>
          <w:szCs w:val="24"/>
        </w:rPr>
        <w:tab/>
      </w:r>
      <w:r w:rsidRPr="004D30A1">
        <w:rPr>
          <w:rFonts w:ascii="Times New Roman" w:hAnsi="Times New Roman" w:cs="Times New Roman"/>
          <w:sz w:val="24"/>
          <w:szCs w:val="24"/>
        </w:rPr>
        <w:tab/>
      </w:r>
      <w:r w:rsidRPr="004D30A1">
        <w:rPr>
          <w:rFonts w:ascii="Times New Roman" w:hAnsi="Times New Roman" w:cs="Times New Roman"/>
          <w:sz w:val="24"/>
          <w:szCs w:val="24"/>
        </w:rPr>
        <w:tab/>
      </w:r>
      <w:r w:rsidRPr="004D30A1">
        <w:rPr>
          <w:rFonts w:ascii="Times New Roman" w:hAnsi="Times New Roman" w:cs="Times New Roman"/>
          <w:sz w:val="24"/>
          <w:szCs w:val="24"/>
        </w:rPr>
        <w:tab/>
      </w:r>
      <w:r w:rsidRPr="004D30A1">
        <w:rPr>
          <w:rFonts w:ascii="Times New Roman" w:hAnsi="Times New Roman" w:cs="Times New Roman"/>
          <w:sz w:val="24"/>
          <w:szCs w:val="24"/>
        </w:rPr>
        <w:tab/>
        <w:t>Court File No. 27-CV-12-1234</w:t>
      </w:r>
    </w:p>
    <w:p w14:paraId="6B29E967" w14:textId="77777777" w:rsidR="005B05F1" w:rsidRPr="004D30A1" w:rsidRDefault="005B05F1" w:rsidP="005B05F1">
      <w:pPr>
        <w:rPr>
          <w:rFonts w:ascii="Times New Roman" w:hAnsi="Times New Roman" w:cs="Times New Roman"/>
          <w:sz w:val="24"/>
          <w:szCs w:val="24"/>
        </w:rPr>
      </w:pPr>
      <w:r w:rsidRPr="004D30A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73B117E" wp14:editId="201AD0A3">
                <wp:simplePos x="0" y="0"/>
                <wp:positionH relativeFrom="column">
                  <wp:posOffset>3295606</wp:posOffset>
                </wp:positionH>
                <wp:positionV relativeFrom="paragraph">
                  <wp:posOffset>260350</wp:posOffset>
                </wp:positionV>
                <wp:extent cx="2700655" cy="630555"/>
                <wp:effectExtent l="0" t="0" r="23495" b="171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655" cy="630555"/>
                        </a:xfrm>
                        <a:prstGeom prst="rect">
                          <a:avLst/>
                        </a:prstGeom>
                        <a:solidFill>
                          <a:srgbClr val="FFFFFF"/>
                        </a:solidFill>
                        <a:ln w="9525">
                          <a:solidFill>
                            <a:schemeClr val="bg1"/>
                          </a:solidFill>
                          <a:miter lim="800000"/>
                          <a:headEnd/>
                          <a:tailEnd/>
                        </a:ln>
                      </wps:spPr>
                      <wps:txbx>
                        <w:txbxContent>
                          <w:p w14:paraId="446694F5" w14:textId="77777777" w:rsidR="008767D9" w:rsidRPr="005B05F1" w:rsidRDefault="008767D9">
                            <w:pPr>
                              <w:rPr>
                                <w:rFonts w:ascii="Times New Roman" w:hAnsi="Times New Roman" w:cs="Times New Roman"/>
                                <w:sz w:val="24"/>
                                <w:szCs w:val="24"/>
                              </w:rPr>
                            </w:pPr>
                            <w:r w:rsidRPr="005B05F1">
                              <w:rPr>
                                <w:rFonts w:ascii="Times New Roman" w:hAnsi="Times New Roman" w:cs="Times New Roman"/>
                                <w:sz w:val="24"/>
                                <w:szCs w:val="24"/>
                              </w:rPr>
                              <w:t>DEFENDANTS’ MEMORANDUM IN SUPPORT OF MOTION TO DISMISS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9.5pt;margin-top:20.5pt;width:212.6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" strokecolor="white [3212]">
                <v:textbox style="mso-fit-shape-to-text:t">
                  <w:txbxContent>
                    <w:p w:rsidR="00D61A04" w:rsidRPr="005B05F1" w:rsidRDefault="00D61A04">
                      <w:pPr>
                        <w:rPr>
                          <w:rFonts w:ascii="Times New Roman" w:hAnsi="Times New Roman" w:cs="Times New Roman"/>
                          <w:sz w:val="24"/>
                          <w:szCs w:val="24"/>
                        </w:rPr>
                      </w:pPr>
                      <w:r w:rsidRPr="005B05F1">
                        <w:rPr>
                          <w:rFonts w:ascii="Times New Roman" w:hAnsi="Times New Roman" w:cs="Times New Roman"/>
                          <w:sz w:val="24"/>
                          <w:szCs w:val="24"/>
                        </w:rPr>
                        <w:t>DEFENDANTS’ MEMORANDUM IN SUPPORT OF MOTION TO DISMISS</w:t>
                      </w:r>
                    </w:p>
                  </w:txbxContent>
                </v:textbox>
              </v:shape>
            </w:pict>
          </mc:Fallback>
        </mc:AlternateContent>
      </w:r>
      <w:proofErr w:type="gramStart"/>
      <w:r w:rsidRPr="004D30A1">
        <w:rPr>
          <w:rFonts w:ascii="Times New Roman" w:hAnsi="Times New Roman" w:cs="Times New Roman"/>
          <w:sz w:val="24"/>
          <w:szCs w:val="24"/>
        </w:rPr>
        <w:t>vs</w:t>
      </w:r>
      <w:proofErr w:type="gramEnd"/>
      <w:r w:rsidRPr="004D30A1">
        <w:rPr>
          <w:rFonts w:ascii="Times New Roman" w:hAnsi="Times New Roman" w:cs="Times New Roman"/>
          <w:sz w:val="24"/>
          <w:szCs w:val="24"/>
        </w:rPr>
        <w:t>.</w:t>
      </w:r>
    </w:p>
    <w:p w14:paraId="41EBFE97" w14:textId="77777777" w:rsidR="005B05F1" w:rsidRPr="004D30A1" w:rsidRDefault="005B05F1" w:rsidP="005B05F1">
      <w:pPr>
        <w:rPr>
          <w:rFonts w:ascii="Times New Roman" w:hAnsi="Times New Roman" w:cs="Times New Roman"/>
          <w:sz w:val="24"/>
          <w:szCs w:val="24"/>
        </w:rPr>
      </w:pPr>
      <w:r w:rsidRPr="004D30A1">
        <w:rPr>
          <w:rFonts w:ascii="Times New Roman" w:hAnsi="Times New Roman" w:cs="Times New Roman"/>
          <w:sz w:val="24"/>
          <w:szCs w:val="24"/>
        </w:rPr>
        <w:t xml:space="preserve">Elizabeth Lime, and </w:t>
      </w:r>
      <w:proofErr w:type="spellStart"/>
      <w:r w:rsidRPr="004D30A1">
        <w:rPr>
          <w:rFonts w:ascii="Times New Roman" w:hAnsi="Times New Roman" w:cs="Times New Roman"/>
          <w:sz w:val="24"/>
          <w:szCs w:val="24"/>
        </w:rPr>
        <w:t>TinyTV</w:t>
      </w:r>
      <w:proofErr w:type="spellEnd"/>
      <w:r w:rsidRPr="004D30A1">
        <w:rPr>
          <w:rFonts w:ascii="Times New Roman" w:hAnsi="Times New Roman" w:cs="Times New Roman"/>
          <w:sz w:val="24"/>
          <w:szCs w:val="24"/>
        </w:rPr>
        <w:t>, Inc.</w:t>
      </w:r>
      <w:r w:rsidRPr="004D30A1">
        <w:rPr>
          <w:rFonts w:ascii="Times New Roman" w:hAnsi="Times New Roman" w:cs="Times New Roman"/>
          <w:sz w:val="24"/>
          <w:szCs w:val="24"/>
        </w:rPr>
        <w:tab/>
      </w:r>
      <w:r w:rsidRPr="004D30A1">
        <w:rPr>
          <w:rFonts w:ascii="Times New Roman" w:hAnsi="Times New Roman" w:cs="Times New Roman"/>
          <w:sz w:val="24"/>
          <w:szCs w:val="24"/>
        </w:rPr>
        <w:tab/>
      </w:r>
      <w:r w:rsidRPr="004D30A1">
        <w:rPr>
          <w:rFonts w:ascii="Times New Roman" w:hAnsi="Times New Roman" w:cs="Times New Roman"/>
          <w:sz w:val="24"/>
          <w:szCs w:val="24"/>
        </w:rPr>
        <w:tab/>
      </w:r>
      <w:r w:rsidRPr="004D30A1">
        <w:rPr>
          <w:rFonts w:ascii="Times New Roman" w:hAnsi="Times New Roman" w:cs="Times New Roman"/>
          <w:sz w:val="24"/>
          <w:szCs w:val="24"/>
        </w:rPr>
        <w:tab/>
      </w:r>
    </w:p>
    <w:p w14:paraId="1592CF89" w14:textId="77777777" w:rsidR="005B05F1" w:rsidRPr="004D30A1" w:rsidRDefault="005B05F1" w:rsidP="005B05F1">
      <w:pPr>
        <w:ind w:left="5760" w:hanging="4320"/>
        <w:rPr>
          <w:rFonts w:ascii="Times New Roman" w:hAnsi="Times New Roman" w:cs="Times New Roman"/>
          <w:sz w:val="24"/>
          <w:szCs w:val="24"/>
        </w:rPr>
      </w:pPr>
      <w:r w:rsidRPr="004D30A1">
        <w:rPr>
          <w:rFonts w:ascii="Times New Roman" w:hAnsi="Times New Roman" w:cs="Times New Roman"/>
          <w:sz w:val="24"/>
          <w:szCs w:val="24"/>
        </w:rPr>
        <w:t>Defendants</w:t>
      </w:r>
      <w:r w:rsidRPr="004D30A1">
        <w:rPr>
          <w:rFonts w:ascii="Times New Roman" w:hAnsi="Times New Roman" w:cs="Times New Roman"/>
          <w:sz w:val="24"/>
          <w:szCs w:val="24"/>
        </w:rPr>
        <w:tab/>
      </w:r>
    </w:p>
    <w:p w14:paraId="3C3064BB" w14:textId="77777777" w:rsidR="005B05F1" w:rsidRPr="004D30A1" w:rsidRDefault="005B05F1" w:rsidP="005B05F1">
      <w:pPr>
        <w:rPr>
          <w:rFonts w:ascii="Times New Roman" w:hAnsi="Times New Roman" w:cs="Times New Roman"/>
          <w:sz w:val="24"/>
          <w:szCs w:val="24"/>
        </w:rPr>
      </w:pPr>
      <w:r w:rsidRPr="004D30A1">
        <w:rPr>
          <w:rFonts w:ascii="Times New Roman" w:hAnsi="Times New Roman" w:cs="Times New Roman"/>
          <w:sz w:val="24"/>
          <w:szCs w:val="24"/>
        </w:rPr>
        <w:tab/>
      </w:r>
    </w:p>
    <w:p w14:paraId="279528FC" w14:textId="77777777" w:rsidR="005B05F1" w:rsidRPr="004D30A1" w:rsidRDefault="005B05F1" w:rsidP="005B05F1">
      <w:pPr>
        <w:jc w:val="center"/>
        <w:rPr>
          <w:rFonts w:ascii="Times New Roman" w:hAnsi="Times New Roman" w:cs="Times New Roman"/>
          <w:b/>
          <w:sz w:val="24"/>
          <w:szCs w:val="24"/>
          <w:u w:val="single"/>
        </w:rPr>
      </w:pPr>
      <w:r w:rsidRPr="004D30A1">
        <w:rPr>
          <w:rFonts w:ascii="Times New Roman" w:hAnsi="Times New Roman" w:cs="Times New Roman"/>
          <w:b/>
          <w:sz w:val="24"/>
          <w:szCs w:val="24"/>
          <w:u w:val="single"/>
        </w:rPr>
        <w:t>INTRODUCTION</w:t>
      </w:r>
    </w:p>
    <w:p w14:paraId="2052173A" w14:textId="77777777" w:rsidR="005B05F1" w:rsidRPr="004D30A1" w:rsidRDefault="005B05F1" w:rsidP="005B05F1">
      <w:pPr>
        <w:rPr>
          <w:rFonts w:ascii="Times New Roman" w:hAnsi="Times New Roman" w:cs="Times New Roman"/>
          <w:b/>
          <w:sz w:val="24"/>
          <w:szCs w:val="24"/>
          <w:u w:val="single"/>
        </w:rPr>
      </w:pPr>
    </w:p>
    <w:p w14:paraId="0851D115" w14:textId="77777777" w:rsidR="00700520" w:rsidRDefault="00C263F4" w:rsidP="00700520">
      <w:pPr>
        <w:pStyle w:val="Default"/>
        <w:spacing w:line="480" w:lineRule="auto"/>
      </w:pPr>
      <w:r w:rsidRPr="004D30A1">
        <w:tab/>
        <w:t xml:space="preserve">Defendants Elizabeth Lime and </w:t>
      </w:r>
      <w:proofErr w:type="spellStart"/>
      <w:r w:rsidRPr="004D30A1">
        <w:t>TinyTV</w:t>
      </w:r>
      <w:proofErr w:type="spellEnd"/>
      <w:r w:rsidRPr="004D30A1">
        <w:t xml:space="preserve">, Inc. submit this Memorandum in </w:t>
      </w:r>
      <w:r w:rsidR="00C960C0">
        <w:t>S</w:t>
      </w:r>
      <w:r w:rsidRPr="004D30A1">
        <w:t xml:space="preserve">upport of their Motion to Dismiss under Federal Rule of Civil Procedure 12(b)(6). Plaintiff </w:t>
      </w:r>
      <w:r w:rsidR="00700520" w:rsidRPr="004D30A1">
        <w:t>OGS TV, Inc.</w:t>
      </w:r>
      <w:r w:rsidR="00C960C0">
        <w:t xml:space="preserve"> (“OGS”)</w:t>
      </w:r>
      <w:r w:rsidR="00700520" w:rsidRPr="004D30A1">
        <w:t xml:space="preserve"> b</w:t>
      </w:r>
      <w:r w:rsidR="0002560E">
        <w:t>rought this action against the D</w:t>
      </w:r>
      <w:r w:rsidR="00700520" w:rsidRPr="004D30A1">
        <w:t xml:space="preserve">efendants, alleging that they violated the federal Copyright Act of 1976, 17 U.S.C. §§ 101 et seq. </w:t>
      </w:r>
      <w:r w:rsidR="00C960C0">
        <w:t xml:space="preserve">(“Copyright Act”). </w:t>
      </w:r>
      <w:r w:rsidR="000B5B32">
        <w:t>Plaintiff</w:t>
      </w:r>
      <w:r w:rsidR="00700520" w:rsidRPr="004D30A1">
        <w:t xml:space="preserve"> claims that Lime </w:t>
      </w:r>
      <w:r w:rsidR="006D49FD">
        <w:t>gave up rights</w:t>
      </w:r>
      <w:r w:rsidR="00700520" w:rsidRPr="004D30A1">
        <w:t xml:space="preserve"> to a scr</w:t>
      </w:r>
      <w:r w:rsidR="00263323">
        <w:t xml:space="preserve">eenplay she wrote by signing a </w:t>
      </w:r>
      <w:r w:rsidR="00C960C0">
        <w:t xml:space="preserve">written </w:t>
      </w:r>
      <w:r w:rsidR="002362E8">
        <w:t xml:space="preserve">Work </w:t>
      </w:r>
      <w:r w:rsidR="00E40BF5">
        <w:t>Made</w:t>
      </w:r>
      <w:r w:rsidR="002362E8">
        <w:t xml:space="preserve"> </w:t>
      </w:r>
      <w:r w:rsidR="00E40BF5">
        <w:t>for</w:t>
      </w:r>
      <w:r w:rsidR="002362E8">
        <w:t xml:space="preserve"> </w:t>
      </w:r>
      <w:r w:rsidR="00E40BF5">
        <w:t>Hire</w:t>
      </w:r>
      <w:r w:rsidR="00263323">
        <w:t xml:space="preserve"> a</w:t>
      </w:r>
      <w:r w:rsidR="00700520" w:rsidRPr="004D30A1">
        <w:t xml:space="preserve">greement, and that she is violating the </w:t>
      </w:r>
      <w:r w:rsidR="00C960C0">
        <w:t>Copyright</w:t>
      </w:r>
      <w:r w:rsidR="00700520" w:rsidRPr="004D30A1">
        <w:t xml:space="preserve"> </w:t>
      </w:r>
      <w:r w:rsidR="00C960C0">
        <w:t xml:space="preserve">Act </w:t>
      </w:r>
      <w:r w:rsidR="00700520" w:rsidRPr="004D30A1">
        <w:t xml:space="preserve">by using portions of the screenplay for a </w:t>
      </w:r>
      <w:proofErr w:type="spellStart"/>
      <w:r w:rsidR="00700520" w:rsidRPr="004D30A1">
        <w:t>TinyTV</w:t>
      </w:r>
      <w:proofErr w:type="spellEnd"/>
      <w:r w:rsidR="00700520" w:rsidRPr="004D30A1">
        <w:t xml:space="preserve"> production. </w:t>
      </w:r>
      <w:r w:rsidR="001910F9" w:rsidRPr="004D30A1">
        <w:t xml:space="preserve">However, the </w:t>
      </w:r>
      <w:r w:rsidR="00C960C0">
        <w:t>Copyright Act</w:t>
      </w:r>
      <w:r w:rsidR="001910F9" w:rsidRPr="004D30A1">
        <w:t xml:space="preserve"> requires that the </w:t>
      </w:r>
      <w:r w:rsidR="006D49FD">
        <w:t xml:space="preserve">parties sign a </w:t>
      </w:r>
      <w:r w:rsidR="001910F9" w:rsidRPr="004D30A1">
        <w:t xml:space="preserve">written agreement prior to the creation of the work. </w:t>
      </w:r>
      <w:r w:rsidR="006D49FD">
        <w:t>Lime completed the screenplay in its entirety before she signed an agreement</w:t>
      </w:r>
      <w:r w:rsidR="00263323">
        <w:t>. Consequently,</w:t>
      </w:r>
      <w:r w:rsidR="006E6D34" w:rsidRPr="004D30A1">
        <w:t xml:space="preserve"> it does not meet the requirements </w:t>
      </w:r>
      <w:r w:rsidR="006D49FD">
        <w:t xml:space="preserve">of §101 </w:t>
      </w:r>
      <w:r w:rsidR="00C960C0">
        <w:t xml:space="preserve">of the Copyright Act and is not a </w:t>
      </w:r>
      <w:r w:rsidR="00E40BF5">
        <w:t>Work Made for Hire</w:t>
      </w:r>
      <w:r w:rsidR="006E6D34" w:rsidRPr="004D30A1">
        <w:t xml:space="preserve">. </w:t>
      </w:r>
      <w:r w:rsidR="006D49FD">
        <w:t>T</w:t>
      </w:r>
      <w:r w:rsidR="006E6D34" w:rsidRPr="004D30A1">
        <w:t xml:space="preserve">he </w:t>
      </w:r>
      <w:r w:rsidR="003451D3">
        <w:t>Defendants ask the C</w:t>
      </w:r>
      <w:r w:rsidR="00263323">
        <w:t>ourt to dismiss the complaint, because the Plaintiff has not stated a claim on which relief can be granted</w:t>
      </w:r>
      <w:r w:rsidR="006E6D34" w:rsidRPr="004D30A1">
        <w:t>.</w:t>
      </w:r>
    </w:p>
    <w:p w14:paraId="45CED145" w14:textId="77777777" w:rsidR="00263323" w:rsidRPr="004D30A1" w:rsidRDefault="00263323" w:rsidP="00700520">
      <w:pPr>
        <w:pStyle w:val="Default"/>
        <w:spacing w:line="480" w:lineRule="auto"/>
      </w:pPr>
    </w:p>
    <w:p w14:paraId="2A3F1836" w14:textId="77777777" w:rsidR="00C85E5F" w:rsidRPr="004D30A1" w:rsidRDefault="00C85E5F" w:rsidP="00C85E5F">
      <w:pPr>
        <w:pStyle w:val="Default"/>
        <w:spacing w:line="480" w:lineRule="auto"/>
        <w:jc w:val="center"/>
        <w:rPr>
          <w:b/>
          <w:u w:val="single"/>
        </w:rPr>
      </w:pPr>
    </w:p>
    <w:p w14:paraId="5190A8C8" w14:textId="77777777" w:rsidR="00C85E5F" w:rsidRDefault="00C85E5F" w:rsidP="00C85E5F">
      <w:pPr>
        <w:pStyle w:val="Default"/>
        <w:spacing w:line="480" w:lineRule="auto"/>
        <w:jc w:val="center"/>
        <w:rPr>
          <w:b/>
          <w:u w:val="single"/>
        </w:rPr>
      </w:pPr>
      <w:r w:rsidRPr="004D30A1">
        <w:rPr>
          <w:b/>
          <w:u w:val="single"/>
        </w:rPr>
        <w:lastRenderedPageBreak/>
        <w:t>FACTUAL BACKGROUND</w:t>
      </w:r>
    </w:p>
    <w:p w14:paraId="35A7E057" w14:textId="77777777" w:rsidR="000B5B32" w:rsidRPr="004D30A1" w:rsidRDefault="000B5B32" w:rsidP="00C85E5F">
      <w:pPr>
        <w:pStyle w:val="Default"/>
        <w:spacing w:line="480" w:lineRule="auto"/>
        <w:jc w:val="center"/>
        <w:rPr>
          <w:b/>
          <w:u w:val="single"/>
        </w:rPr>
      </w:pPr>
    </w:p>
    <w:p w14:paraId="045641BA" w14:textId="77777777" w:rsidR="005B05F1" w:rsidRPr="004D30A1" w:rsidRDefault="00C85E5F" w:rsidP="00533ECD">
      <w:pPr>
        <w:pStyle w:val="Default"/>
        <w:spacing w:line="480" w:lineRule="auto"/>
      </w:pPr>
      <w:r w:rsidRPr="004D30A1">
        <w:tab/>
        <w:t xml:space="preserve">Lime is an experienced and well-known television writer, with more than fifteen years </w:t>
      </w:r>
      <w:r w:rsidR="00533ECD" w:rsidRPr="004D30A1">
        <w:t>in the business</w:t>
      </w:r>
      <w:r w:rsidRPr="004D30A1">
        <w:t xml:space="preserve">. </w:t>
      </w:r>
      <w:proofErr w:type="spellStart"/>
      <w:r w:rsidRPr="004D30A1">
        <w:t>Compl</w:t>
      </w:r>
      <w:proofErr w:type="spellEnd"/>
      <w:r w:rsidRPr="004D30A1">
        <w:t xml:space="preserve">. ¶ 11. </w:t>
      </w:r>
      <w:r w:rsidR="006B78DF" w:rsidRPr="004D30A1">
        <w:t xml:space="preserve">On March 27, 2010, OGS </w:t>
      </w:r>
      <w:r w:rsidR="003E75B9">
        <w:t xml:space="preserve">contacted Lime to specially commission a </w:t>
      </w:r>
      <w:r w:rsidR="006B78DF" w:rsidRPr="004D30A1">
        <w:t xml:space="preserve">screenplay for an episode of </w:t>
      </w:r>
      <w:r w:rsidR="006B78DF" w:rsidRPr="004D30A1">
        <w:rPr>
          <w:i/>
        </w:rPr>
        <w:t>Lawless Love</w:t>
      </w:r>
      <w:r w:rsidR="006B78DF" w:rsidRPr="004D30A1">
        <w:t xml:space="preserve">. </w:t>
      </w:r>
      <w:proofErr w:type="spellStart"/>
      <w:r w:rsidR="006B78DF" w:rsidRPr="004D30A1">
        <w:t>Compl</w:t>
      </w:r>
      <w:proofErr w:type="spellEnd"/>
      <w:r w:rsidR="006B78DF" w:rsidRPr="004D30A1">
        <w:t xml:space="preserve">. ¶ 9. OGS has produced and aired 39 episodes of </w:t>
      </w:r>
      <w:r w:rsidR="006B78DF" w:rsidRPr="004D30A1">
        <w:rPr>
          <w:i/>
        </w:rPr>
        <w:t>Lawless Love</w:t>
      </w:r>
      <w:r w:rsidR="006B78DF" w:rsidRPr="004D30A1">
        <w:t xml:space="preserve">, all of which had been prepared by its own writing staff. </w:t>
      </w:r>
      <w:proofErr w:type="spellStart"/>
      <w:r w:rsidR="006B78DF" w:rsidRPr="004D30A1">
        <w:t>Compl</w:t>
      </w:r>
      <w:proofErr w:type="spellEnd"/>
      <w:r w:rsidR="006B78DF" w:rsidRPr="004D30A1">
        <w:t xml:space="preserve">. </w:t>
      </w:r>
      <w:proofErr w:type="gramStart"/>
      <w:r w:rsidR="006B78DF" w:rsidRPr="004D30A1">
        <w:t>¶¶ 5, 9.</w:t>
      </w:r>
      <w:proofErr w:type="gramEnd"/>
      <w:r w:rsidR="006B78DF" w:rsidRPr="004D30A1">
        <w:t xml:space="preserve">  On March 27, Lime met with Dave Nelson</w:t>
      </w:r>
      <w:r w:rsidR="00E40BF5">
        <w:t xml:space="preserve"> (“Nelson”)</w:t>
      </w:r>
      <w:r w:rsidR="006B78DF" w:rsidRPr="004D30A1">
        <w:t xml:space="preserve">, the executive producer of </w:t>
      </w:r>
      <w:r w:rsidR="006B78DF" w:rsidRPr="004D30A1">
        <w:rPr>
          <w:i/>
        </w:rPr>
        <w:t>Lawless Love</w:t>
      </w:r>
      <w:r w:rsidR="006B78DF" w:rsidRPr="004D30A1">
        <w:t xml:space="preserve">, for the first time. </w:t>
      </w:r>
      <w:proofErr w:type="spellStart"/>
      <w:r w:rsidR="006B78DF" w:rsidRPr="004D30A1">
        <w:t>Compl</w:t>
      </w:r>
      <w:proofErr w:type="spellEnd"/>
      <w:r w:rsidR="006B78DF" w:rsidRPr="004D30A1">
        <w:t xml:space="preserve">. </w:t>
      </w:r>
      <w:proofErr w:type="gramStart"/>
      <w:r w:rsidR="006B78DF" w:rsidRPr="004D30A1">
        <w:t>¶¶ 10, 12.</w:t>
      </w:r>
      <w:proofErr w:type="gramEnd"/>
      <w:r w:rsidR="006B78DF" w:rsidRPr="004D30A1">
        <w:t xml:space="preserve"> During the meeting, </w:t>
      </w:r>
      <w:r w:rsidR="00533ECD" w:rsidRPr="004D30A1">
        <w:t xml:space="preserve">Nelson expressed his desire for a unique take on the show’s premise and characters. </w:t>
      </w:r>
      <w:proofErr w:type="spellStart"/>
      <w:r w:rsidR="00533ECD" w:rsidRPr="004D30A1">
        <w:t>Compl</w:t>
      </w:r>
      <w:proofErr w:type="spellEnd"/>
      <w:r w:rsidR="00533ECD" w:rsidRPr="004D30A1">
        <w:t xml:space="preserve">. ¶ 14. </w:t>
      </w:r>
      <w:r w:rsidR="00E40BF5">
        <w:t>They did not sign a written agreement to make it a Work for Hire, although they orally agreed to do so</w:t>
      </w:r>
      <w:r w:rsidR="00533ECD" w:rsidRPr="004D30A1">
        <w:t xml:space="preserve">. </w:t>
      </w:r>
      <w:proofErr w:type="spellStart"/>
      <w:r w:rsidR="00533ECD" w:rsidRPr="004D30A1">
        <w:t>Compl</w:t>
      </w:r>
      <w:proofErr w:type="spellEnd"/>
      <w:r w:rsidR="00533ECD" w:rsidRPr="004D30A1">
        <w:t xml:space="preserve">. ¶ 20. </w:t>
      </w:r>
      <w:r w:rsidR="00A236BC" w:rsidRPr="004D30A1">
        <w:t xml:space="preserve">Nelson </w:t>
      </w:r>
      <w:r w:rsidR="006B2186">
        <w:t>displayed</w:t>
      </w:r>
      <w:r w:rsidR="00A236BC" w:rsidRPr="004D30A1">
        <w:t xml:space="preserve"> familiarity and admiration for Lime’s past work on other series, indicating that OGS was </w:t>
      </w:r>
      <w:r w:rsidR="00E7769F">
        <w:t xml:space="preserve">aware of her style of writing and was interested in it for the purposes of this project. </w:t>
      </w:r>
      <w:r w:rsidR="00A236BC" w:rsidRPr="004D30A1">
        <w:rPr>
          <w:i/>
        </w:rPr>
        <w:t>Id</w:t>
      </w:r>
      <w:r w:rsidR="00A236BC" w:rsidRPr="004D30A1">
        <w:t xml:space="preserve">. </w:t>
      </w:r>
    </w:p>
    <w:p w14:paraId="7C24210F" w14:textId="77777777" w:rsidR="00A236BC" w:rsidRPr="004D30A1" w:rsidRDefault="00A236BC" w:rsidP="00533ECD">
      <w:pPr>
        <w:pStyle w:val="Default"/>
        <w:spacing w:line="480" w:lineRule="auto"/>
      </w:pPr>
      <w:r w:rsidRPr="004D30A1">
        <w:tab/>
        <w:t>As requested, Lime</w:t>
      </w:r>
      <w:r w:rsidR="00E40BF5">
        <w:t xml:space="preserve"> </w:t>
      </w:r>
      <w:r w:rsidRPr="004D30A1">
        <w:t xml:space="preserve">submitted a screenplay entitled “Anticipatory Repudiation” on April 1, 2010. </w:t>
      </w:r>
      <w:proofErr w:type="spellStart"/>
      <w:r w:rsidRPr="004D30A1">
        <w:t>Compl</w:t>
      </w:r>
      <w:proofErr w:type="spellEnd"/>
      <w:r w:rsidRPr="004D30A1">
        <w:t xml:space="preserve">. ¶ 21. Although still no </w:t>
      </w:r>
      <w:r w:rsidR="00E40BF5">
        <w:t xml:space="preserve">written </w:t>
      </w:r>
      <w:r w:rsidR="006B2186">
        <w:t>agreement had been made</w:t>
      </w:r>
      <w:r w:rsidRPr="004D30A1">
        <w:t xml:space="preserve">, OGS obtained a certificate of registration from the Register of Copyrights on April 2, 2010. </w:t>
      </w:r>
      <w:proofErr w:type="spellStart"/>
      <w:r w:rsidRPr="004D30A1">
        <w:t>Compl</w:t>
      </w:r>
      <w:proofErr w:type="spellEnd"/>
      <w:r w:rsidRPr="004D30A1">
        <w:t xml:space="preserve">. ¶ 22. On April 6, </w:t>
      </w:r>
      <w:r w:rsidR="00E7769F">
        <w:t xml:space="preserve">days after the work was completed and submitted, </w:t>
      </w:r>
      <w:r w:rsidRPr="004D30A1">
        <w:t xml:space="preserve">Lime returned </w:t>
      </w:r>
      <w:r w:rsidR="00E40BF5">
        <w:t>to pick up her check and</w:t>
      </w:r>
      <w:r w:rsidRPr="004D30A1">
        <w:t xml:space="preserve">, along with Nelson, signed a document stating that the screenplay was prepared as a </w:t>
      </w:r>
      <w:r w:rsidR="00E40BF5">
        <w:t>Work Made for Hire</w:t>
      </w:r>
      <w:r w:rsidRPr="004D30A1">
        <w:t xml:space="preserve">. </w:t>
      </w:r>
      <w:proofErr w:type="spellStart"/>
      <w:r w:rsidRPr="004D30A1">
        <w:t>Compl</w:t>
      </w:r>
      <w:proofErr w:type="spellEnd"/>
      <w:r w:rsidRPr="004D30A1">
        <w:t xml:space="preserve">. </w:t>
      </w:r>
      <w:proofErr w:type="gramStart"/>
      <w:r w:rsidRPr="004D30A1">
        <w:t>¶</w:t>
      </w:r>
      <w:r w:rsidR="00A70912" w:rsidRPr="004D30A1">
        <w:t>¶</w:t>
      </w:r>
      <w:r w:rsidRPr="004D30A1">
        <w:t xml:space="preserve"> 24, 25.</w:t>
      </w:r>
      <w:proofErr w:type="gramEnd"/>
      <w:r w:rsidRPr="004D30A1">
        <w:t xml:space="preserve"> </w:t>
      </w:r>
    </w:p>
    <w:p w14:paraId="111527E6" w14:textId="77777777" w:rsidR="00A236BC" w:rsidRPr="004D30A1" w:rsidRDefault="00A236BC" w:rsidP="00533ECD">
      <w:pPr>
        <w:pStyle w:val="Default"/>
        <w:spacing w:line="480" w:lineRule="auto"/>
      </w:pPr>
      <w:r w:rsidRPr="004D30A1">
        <w:tab/>
      </w:r>
      <w:r w:rsidR="00E40BF5">
        <w:t>Due to issues with the them</w:t>
      </w:r>
      <w:r w:rsidR="00D873EA">
        <w:t>e</w:t>
      </w:r>
      <w:r w:rsidR="00E40BF5">
        <w:t xml:space="preserve"> and a submarine chase scene, OGS chose not to produce the episode Lime wrote</w:t>
      </w:r>
      <w:r w:rsidR="00A70912" w:rsidRPr="004D30A1">
        <w:t xml:space="preserve">. </w:t>
      </w:r>
      <w:proofErr w:type="spellStart"/>
      <w:r w:rsidR="00A70912" w:rsidRPr="004D30A1">
        <w:t>Compl</w:t>
      </w:r>
      <w:proofErr w:type="spellEnd"/>
      <w:r w:rsidR="00A70912" w:rsidRPr="004D30A1">
        <w:t>. ¶ 26. With her work rejected by OGS, Lime took her</w:t>
      </w:r>
      <w:r w:rsidR="00711071">
        <w:t xml:space="preserve"> talents to </w:t>
      </w:r>
      <w:proofErr w:type="spellStart"/>
      <w:r w:rsidR="00711071">
        <w:t>TinyTV</w:t>
      </w:r>
      <w:proofErr w:type="spellEnd"/>
      <w:r w:rsidR="00711071">
        <w:t xml:space="preserve"> and created a </w:t>
      </w:r>
      <w:r w:rsidR="00A70912" w:rsidRPr="004D30A1">
        <w:t xml:space="preserve">new series, </w:t>
      </w:r>
      <w:r w:rsidR="00A70912" w:rsidRPr="004D30A1">
        <w:rPr>
          <w:i/>
        </w:rPr>
        <w:t>The Tin Can</w:t>
      </w:r>
      <w:r w:rsidR="00A70912" w:rsidRPr="004D30A1">
        <w:t>, which focuse</w:t>
      </w:r>
      <w:r w:rsidR="00D873EA">
        <w:t xml:space="preserve">d on a submarine crew. </w:t>
      </w:r>
      <w:proofErr w:type="spellStart"/>
      <w:r w:rsidR="00D873EA">
        <w:t>Compl</w:t>
      </w:r>
      <w:proofErr w:type="spellEnd"/>
      <w:r w:rsidR="00D873EA">
        <w:t xml:space="preserve">. ¶ </w:t>
      </w:r>
      <w:r w:rsidR="00A70912" w:rsidRPr="004D30A1">
        <w:t xml:space="preserve">27. Lime and </w:t>
      </w:r>
      <w:proofErr w:type="spellStart"/>
      <w:r w:rsidR="00A70912" w:rsidRPr="004D30A1">
        <w:t>TinyTV</w:t>
      </w:r>
      <w:proofErr w:type="spellEnd"/>
      <w:r w:rsidR="00A70912" w:rsidRPr="004D30A1">
        <w:t xml:space="preserve"> wrote, produced, and aired the pilot episode of the series, entitled “The Love Below.” </w:t>
      </w:r>
      <w:proofErr w:type="spellStart"/>
      <w:r w:rsidR="00A70912" w:rsidRPr="004D30A1">
        <w:t>Compl</w:t>
      </w:r>
      <w:proofErr w:type="spellEnd"/>
      <w:r w:rsidR="00A70912" w:rsidRPr="004D30A1">
        <w:t xml:space="preserve">. </w:t>
      </w:r>
      <w:proofErr w:type="gramStart"/>
      <w:r w:rsidR="00A70912" w:rsidRPr="004D30A1">
        <w:t>¶¶ 28, 29.</w:t>
      </w:r>
      <w:proofErr w:type="gramEnd"/>
      <w:r w:rsidR="00A70912" w:rsidRPr="004D30A1">
        <w:t xml:space="preserve"> </w:t>
      </w:r>
      <w:r w:rsidR="00711071">
        <w:t>Alt</w:t>
      </w:r>
      <w:r w:rsidR="00A70912" w:rsidRPr="004D30A1">
        <w:t xml:space="preserve">hough it shared </w:t>
      </w:r>
      <w:r w:rsidR="003E75B9">
        <w:t xml:space="preserve">dialogue, characters, and storylines </w:t>
      </w:r>
      <w:r w:rsidR="00A70912" w:rsidRPr="004D30A1">
        <w:t xml:space="preserve">with the </w:t>
      </w:r>
      <w:r w:rsidR="00A70912" w:rsidRPr="004D30A1">
        <w:lastRenderedPageBreak/>
        <w:t>“Anticipatory Repudiation” screenplay, the</w:t>
      </w:r>
      <w:r w:rsidR="00711071">
        <w:t xml:space="preserve"> </w:t>
      </w:r>
      <w:r w:rsidR="003E75B9">
        <w:rPr>
          <w:color w:val="auto"/>
        </w:rPr>
        <w:t>setting, names and occupations of characters, and the premise of the show were different</w:t>
      </w:r>
      <w:r w:rsidR="00A70912" w:rsidRPr="00711071">
        <w:rPr>
          <w:color w:val="FF0000"/>
        </w:rPr>
        <w:t xml:space="preserve">. </w:t>
      </w:r>
      <w:proofErr w:type="spellStart"/>
      <w:r w:rsidR="00A70912" w:rsidRPr="004D30A1">
        <w:t>Compl</w:t>
      </w:r>
      <w:proofErr w:type="spellEnd"/>
      <w:r w:rsidR="00A70912" w:rsidRPr="004D30A1">
        <w:t xml:space="preserve">. ¶ 31. </w:t>
      </w:r>
    </w:p>
    <w:p w14:paraId="73A8684F" w14:textId="77777777" w:rsidR="004D30A1" w:rsidRDefault="004D30A1" w:rsidP="00533ECD">
      <w:pPr>
        <w:pStyle w:val="Default"/>
        <w:spacing w:line="480" w:lineRule="auto"/>
      </w:pPr>
      <w:r w:rsidRPr="004D30A1">
        <w:tab/>
      </w:r>
      <w:r w:rsidR="00711071">
        <w:t xml:space="preserve">Though it </w:t>
      </w:r>
      <w:r w:rsidR="00D873EA">
        <w:t>chose not to produce the</w:t>
      </w:r>
      <w:r w:rsidR="00711071">
        <w:t xml:space="preserve"> screenplay written by Lime</w:t>
      </w:r>
      <w:r w:rsidRPr="004D30A1">
        <w:t xml:space="preserve">, the plaintiff is claiming damages of $86,000 for lost advertising revenue and the lost value of Lime’s fee for the screenplay. </w:t>
      </w:r>
      <w:proofErr w:type="spellStart"/>
      <w:r w:rsidRPr="004D30A1">
        <w:t>Compl</w:t>
      </w:r>
      <w:proofErr w:type="spellEnd"/>
      <w:r w:rsidRPr="004D30A1">
        <w:t xml:space="preserve">. ¶ 30. </w:t>
      </w:r>
      <w:r>
        <w:t xml:space="preserve">Claiming a breach of 17 USC §§ 101 et seq., they are also seeking a restraining order, preventing the defendants from airing the production that the defendants wrote. </w:t>
      </w:r>
      <w:proofErr w:type="spellStart"/>
      <w:r>
        <w:t>Compl</w:t>
      </w:r>
      <w:proofErr w:type="spellEnd"/>
      <w:r>
        <w:t xml:space="preserve">. </w:t>
      </w:r>
      <w:proofErr w:type="gramStart"/>
      <w:r>
        <w:t>¶¶ 1, 34.</w:t>
      </w:r>
      <w:proofErr w:type="gramEnd"/>
      <w:r>
        <w:t xml:space="preserve"> There was no written agreement commissioning the work</w:t>
      </w:r>
      <w:r w:rsidR="00E7769F">
        <w:t xml:space="preserve"> before or during its completion, so the </w:t>
      </w:r>
      <w:r w:rsidR="00077D29">
        <w:t xml:space="preserve">defendants assert that the </w:t>
      </w:r>
      <w:r w:rsidR="00E7769F">
        <w:t xml:space="preserve">plaintiff has no ownership over the screenplay, </w:t>
      </w:r>
      <w:r w:rsidR="00263323">
        <w:t xml:space="preserve">as </w:t>
      </w:r>
      <w:r w:rsidR="00E7769F">
        <w:t>the screenplay was n</w:t>
      </w:r>
      <w:r w:rsidR="006B2186">
        <w:t>ever</w:t>
      </w:r>
      <w:r w:rsidR="00077D29">
        <w:t xml:space="preserve"> a </w:t>
      </w:r>
      <w:r w:rsidR="00E40BF5">
        <w:t>Work Made for Hire</w:t>
      </w:r>
      <w:r w:rsidR="00077D29">
        <w:t>. Answer</w:t>
      </w:r>
      <w:r w:rsidR="00E7769F">
        <w:t xml:space="preserve"> ¶ 3.</w:t>
      </w:r>
    </w:p>
    <w:p w14:paraId="1EB6A306" w14:textId="77777777" w:rsidR="00263323" w:rsidRDefault="00263323" w:rsidP="00533ECD">
      <w:pPr>
        <w:pStyle w:val="Default"/>
        <w:spacing w:line="480" w:lineRule="auto"/>
      </w:pPr>
    </w:p>
    <w:p w14:paraId="5F98EEA0" w14:textId="77777777" w:rsidR="00263323" w:rsidRDefault="00263323" w:rsidP="00263323">
      <w:pPr>
        <w:pStyle w:val="Default"/>
        <w:spacing w:line="480" w:lineRule="auto"/>
        <w:jc w:val="center"/>
        <w:rPr>
          <w:b/>
          <w:u w:val="single"/>
        </w:rPr>
      </w:pPr>
      <w:r>
        <w:rPr>
          <w:b/>
          <w:u w:val="single"/>
        </w:rPr>
        <w:t>ARGUMENT</w:t>
      </w:r>
    </w:p>
    <w:p w14:paraId="09075AFA" w14:textId="77777777" w:rsidR="003451D3" w:rsidRDefault="003451D3" w:rsidP="00263323">
      <w:pPr>
        <w:pStyle w:val="Default"/>
        <w:spacing w:line="480" w:lineRule="auto"/>
        <w:jc w:val="center"/>
        <w:rPr>
          <w:b/>
          <w:u w:val="single"/>
        </w:rPr>
      </w:pPr>
    </w:p>
    <w:p w14:paraId="7A39DD0B" w14:textId="77777777" w:rsidR="0094102D" w:rsidRDefault="0094102D" w:rsidP="003136F8">
      <w:pPr>
        <w:spacing w:after="240" w:line="480" w:lineRule="auto"/>
        <w:rPr>
          <w:b/>
          <w:u w:val="single"/>
        </w:rPr>
      </w:pPr>
      <w:r>
        <w:tab/>
      </w:r>
      <w:r w:rsidR="00F60DED" w:rsidRPr="00F60DED">
        <w:rPr>
          <w:rFonts w:ascii="Times New Roman" w:hAnsi="Times New Roman" w:cs="Times New Roman"/>
          <w:sz w:val="24"/>
          <w:szCs w:val="24"/>
        </w:rPr>
        <w:t xml:space="preserve">A complaint </w:t>
      </w:r>
      <w:r w:rsidRPr="00F60DED">
        <w:rPr>
          <w:rFonts w:ascii="Times New Roman" w:eastAsia="Times New Roman" w:hAnsi="Times New Roman" w:cs="Times New Roman"/>
          <w:sz w:val="24"/>
          <w:szCs w:val="24"/>
        </w:rPr>
        <w:t xml:space="preserve">must </w:t>
      </w:r>
      <w:r w:rsidR="00F60DED" w:rsidRPr="00F60DED">
        <w:rPr>
          <w:rFonts w:ascii="Times New Roman" w:eastAsia="Times New Roman" w:hAnsi="Times New Roman" w:cs="Times New Roman"/>
          <w:sz w:val="24"/>
          <w:szCs w:val="24"/>
        </w:rPr>
        <w:t xml:space="preserve">present facts to push </w:t>
      </w:r>
      <w:r w:rsidR="003451D3">
        <w:rPr>
          <w:rFonts w:ascii="Times New Roman" w:eastAsia="Times New Roman" w:hAnsi="Times New Roman" w:cs="Times New Roman"/>
          <w:sz w:val="24"/>
          <w:szCs w:val="24"/>
        </w:rPr>
        <w:t xml:space="preserve">the </w:t>
      </w:r>
      <w:r w:rsidR="00F60DED" w:rsidRPr="00F60DED">
        <w:rPr>
          <w:rFonts w:ascii="Times New Roman" w:eastAsia="Times New Roman" w:hAnsi="Times New Roman" w:cs="Times New Roman"/>
          <w:sz w:val="24"/>
          <w:szCs w:val="24"/>
        </w:rPr>
        <w:t>claims a</w:t>
      </w:r>
      <w:r w:rsidRPr="00F60DED">
        <w:rPr>
          <w:rFonts w:ascii="Times New Roman" w:eastAsia="Times New Roman" w:hAnsi="Times New Roman" w:cs="Times New Roman"/>
          <w:sz w:val="24"/>
          <w:szCs w:val="24"/>
        </w:rPr>
        <w:t xml:space="preserve">cross the line from conceivable to plausible. </w:t>
      </w:r>
      <w:r w:rsidR="00934BEB" w:rsidRPr="00F60DED">
        <w:rPr>
          <w:rFonts w:ascii="Times New Roman" w:hAnsi="Times New Roman" w:cs="Times New Roman"/>
          <w:i/>
          <w:iCs/>
          <w:sz w:val="24"/>
          <w:szCs w:val="24"/>
        </w:rPr>
        <w:t xml:space="preserve">Bell Atl. Corp. v. </w:t>
      </w:r>
      <w:proofErr w:type="spellStart"/>
      <w:r w:rsidR="00934BEB" w:rsidRPr="00F60DED">
        <w:rPr>
          <w:rFonts w:ascii="Times New Roman" w:hAnsi="Times New Roman" w:cs="Times New Roman"/>
          <w:i/>
          <w:iCs/>
          <w:sz w:val="24"/>
          <w:szCs w:val="24"/>
        </w:rPr>
        <w:t>Twombly</w:t>
      </w:r>
      <w:proofErr w:type="spellEnd"/>
      <w:r w:rsidR="00934BEB" w:rsidRPr="00F60DED">
        <w:rPr>
          <w:rFonts w:ascii="Times New Roman" w:hAnsi="Times New Roman" w:cs="Times New Roman"/>
          <w:sz w:val="24"/>
          <w:szCs w:val="24"/>
        </w:rPr>
        <w:t>, 550 U.S. 544, 570 (2007).</w:t>
      </w:r>
      <w:r w:rsidR="00F60DED" w:rsidRPr="00F60DED">
        <w:rPr>
          <w:rFonts w:ascii="Times New Roman" w:hAnsi="Times New Roman" w:cs="Times New Roman"/>
          <w:sz w:val="24"/>
          <w:szCs w:val="24"/>
        </w:rPr>
        <w:t xml:space="preserve"> Here,</w:t>
      </w:r>
      <w:r w:rsidR="00F60DED">
        <w:rPr>
          <w:rFonts w:ascii="Times New Roman" w:hAnsi="Times New Roman" w:cs="Times New Roman"/>
          <w:sz w:val="24"/>
          <w:szCs w:val="24"/>
        </w:rPr>
        <w:t xml:space="preserve"> the Complaint does not assert that a written agreement was signed prior to the creation of the work</w:t>
      </w:r>
      <w:r w:rsidR="003136F8">
        <w:rPr>
          <w:rFonts w:ascii="Times New Roman" w:hAnsi="Times New Roman" w:cs="Times New Roman"/>
          <w:sz w:val="24"/>
          <w:szCs w:val="24"/>
        </w:rPr>
        <w:t xml:space="preserve"> under the requirements of the Copyright Act</w:t>
      </w:r>
      <w:r w:rsidR="00F60DED">
        <w:rPr>
          <w:rFonts w:ascii="Times New Roman" w:hAnsi="Times New Roman" w:cs="Times New Roman"/>
          <w:sz w:val="24"/>
          <w:szCs w:val="24"/>
        </w:rPr>
        <w:t>.</w:t>
      </w:r>
      <w:r w:rsidR="00766F97">
        <w:rPr>
          <w:rFonts w:ascii="Times New Roman" w:hAnsi="Times New Roman" w:cs="Times New Roman"/>
          <w:sz w:val="24"/>
          <w:szCs w:val="24"/>
        </w:rPr>
        <w:t xml:space="preserve"> A Plaintiff may not assert mere conclusions without sufficient factual matter, and the facts </w:t>
      </w:r>
      <w:r w:rsidR="003451D3">
        <w:rPr>
          <w:rFonts w:ascii="Times New Roman" w:hAnsi="Times New Roman" w:cs="Times New Roman"/>
          <w:sz w:val="24"/>
          <w:szCs w:val="24"/>
        </w:rPr>
        <w:t>stated in the Complaint</w:t>
      </w:r>
      <w:r w:rsidR="00766F97">
        <w:rPr>
          <w:rFonts w:ascii="Times New Roman" w:hAnsi="Times New Roman" w:cs="Times New Roman"/>
          <w:sz w:val="24"/>
          <w:szCs w:val="24"/>
        </w:rPr>
        <w:t xml:space="preserve"> do not sufficiently</w:t>
      </w:r>
      <w:r w:rsidR="002362E8">
        <w:rPr>
          <w:rFonts w:ascii="Times New Roman" w:hAnsi="Times New Roman" w:cs="Times New Roman"/>
          <w:sz w:val="24"/>
          <w:szCs w:val="24"/>
        </w:rPr>
        <w:t xml:space="preserve"> establish that a Work Made for </w:t>
      </w:r>
      <w:r w:rsidR="00766F97">
        <w:rPr>
          <w:rFonts w:ascii="Times New Roman" w:hAnsi="Times New Roman" w:cs="Times New Roman"/>
          <w:sz w:val="24"/>
          <w:szCs w:val="24"/>
        </w:rPr>
        <w:t xml:space="preserve">Hire agreement was </w:t>
      </w:r>
      <w:r w:rsidR="003451D3">
        <w:rPr>
          <w:rFonts w:ascii="Times New Roman" w:hAnsi="Times New Roman" w:cs="Times New Roman"/>
          <w:sz w:val="24"/>
          <w:szCs w:val="24"/>
        </w:rPr>
        <w:t xml:space="preserve">properly </w:t>
      </w:r>
      <w:r w:rsidR="00766F97">
        <w:rPr>
          <w:rFonts w:ascii="Times New Roman" w:hAnsi="Times New Roman" w:cs="Times New Roman"/>
          <w:sz w:val="24"/>
          <w:szCs w:val="24"/>
        </w:rPr>
        <w:t xml:space="preserve">signed. </w:t>
      </w:r>
      <w:proofErr w:type="gramStart"/>
      <w:r w:rsidR="00766F97">
        <w:rPr>
          <w:rFonts w:ascii="Times New Roman" w:hAnsi="Times New Roman" w:cs="Times New Roman"/>
          <w:i/>
          <w:sz w:val="24"/>
          <w:szCs w:val="24"/>
        </w:rPr>
        <w:t xml:space="preserve">Ashcroft v. </w:t>
      </w:r>
      <w:proofErr w:type="spellStart"/>
      <w:r w:rsidR="00766F97">
        <w:rPr>
          <w:rFonts w:ascii="Times New Roman" w:hAnsi="Times New Roman" w:cs="Times New Roman"/>
          <w:i/>
          <w:sz w:val="24"/>
          <w:szCs w:val="24"/>
        </w:rPr>
        <w:t>Iqbal</w:t>
      </w:r>
      <w:proofErr w:type="spellEnd"/>
      <w:r w:rsidR="00766F97">
        <w:rPr>
          <w:rFonts w:ascii="Times New Roman" w:hAnsi="Times New Roman" w:cs="Times New Roman"/>
          <w:sz w:val="24"/>
          <w:szCs w:val="24"/>
        </w:rPr>
        <w:t xml:space="preserve">, </w:t>
      </w:r>
      <w:r w:rsidR="003136F8">
        <w:rPr>
          <w:rFonts w:ascii="Times New Roman" w:hAnsi="Times New Roman" w:cs="Times New Roman"/>
          <w:sz w:val="24"/>
          <w:szCs w:val="24"/>
        </w:rPr>
        <w:t>556 U.S. 662, 666</w:t>
      </w:r>
      <w:r w:rsidR="00766F97">
        <w:rPr>
          <w:rFonts w:ascii="Times New Roman" w:hAnsi="Times New Roman" w:cs="Times New Roman"/>
          <w:sz w:val="24"/>
          <w:szCs w:val="24"/>
        </w:rPr>
        <w:t xml:space="preserve"> (2009).</w:t>
      </w:r>
      <w:proofErr w:type="gramEnd"/>
      <w:r w:rsidR="00766F97">
        <w:rPr>
          <w:rFonts w:ascii="Times New Roman" w:hAnsi="Times New Roman" w:cs="Times New Roman"/>
          <w:sz w:val="24"/>
          <w:szCs w:val="24"/>
        </w:rPr>
        <w:t xml:space="preserve"> </w:t>
      </w:r>
      <w:r w:rsidR="003136F8">
        <w:rPr>
          <w:rFonts w:ascii="Times New Roman" w:hAnsi="Times New Roman" w:cs="Times New Roman"/>
          <w:sz w:val="24"/>
          <w:szCs w:val="24"/>
        </w:rPr>
        <w:t xml:space="preserve">Because the Plaintiff has not stated a claim on which relief can be granted, the Court should grant Defendants’ motion under </w:t>
      </w:r>
      <w:r w:rsidR="003136F8" w:rsidRPr="0094102D">
        <w:rPr>
          <w:rFonts w:ascii="Times New Roman" w:eastAsia="Times New Roman" w:hAnsi="Times New Roman" w:cs="Times New Roman"/>
          <w:sz w:val="24"/>
          <w:szCs w:val="24"/>
        </w:rPr>
        <w:t>Fed. R. Civ. P. 12(b)(6</w:t>
      </w:r>
      <w:r w:rsidR="003136F8">
        <w:rPr>
          <w:rFonts w:ascii="Times New Roman" w:eastAsia="Times New Roman" w:hAnsi="Times New Roman" w:cs="Times New Roman"/>
          <w:sz w:val="24"/>
          <w:szCs w:val="24"/>
        </w:rPr>
        <w:t>) and dismiss the Complaint.</w:t>
      </w:r>
    </w:p>
    <w:p w14:paraId="18E1DFFE" w14:textId="77777777" w:rsidR="00AE6576" w:rsidRDefault="00AE6576" w:rsidP="00263323">
      <w:pPr>
        <w:pStyle w:val="Default"/>
        <w:spacing w:line="480" w:lineRule="auto"/>
        <w:jc w:val="center"/>
        <w:rPr>
          <w:b/>
          <w:u w:val="single"/>
        </w:rPr>
      </w:pPr>
    </w:p>
    <w:p w14:paraId="2C5AC374" w14:textId="77777777" w:rsidR="009435A7" w:rsidRDefault="00607D5B" w:rsidP="009435A7">
      <w:pPr>
        <w:pStyle w:val="Default"/>
        <w:numPr>
          <w:ilvl w:val="0"/>
          <w:numId w:val="1"/>
        </w:numPr>
        <w:spacing w:line="480" w:lineRule="auto"/>
        <w:rPr>
          <w:b/>
        </w:rPr>
      </w:pPr>
      <w:r>
        <w:rPr>
          <w:b/>
        </w:rPr>
        <w:t xml:space="preserve">The Plain </w:t>
      </w:r>
      <w:r w:rsidR="00D873EA">
        <w:rPr>
          <w:b/>
        </w:rPr>
        <w:t>Language</w:t>
      </w:r>
      <w:r>
        <w:rPr>
          <w:b/>
        </w:rPr>
        <w:t xml:space="preserve"> of the Statute Requires that the Writing be Signed Before the Work is </w:t>
      </w:r>
      <w:proofErr w:type="gramStart"/>
      <w:r>
        <w:rPr>
          <w:b/>
        </w:rPr>
        <w:t>Created</w:t>
      </w:r>
      <w:proofErr w:type="gramEnd"/>
      <w:r>
        <w:rPr>
          <w:b/>
        </w:rPr>
        <w:t>.</w:t>
      </w:r>
    </w:p>
    <w:p w14:paraId="31090B1D" w14:textId="77777777" w:rsidR="00AE6576" w:rsidRDefault="00AE6576" w:rsidP="00AE6576">
      <w:pPr>
        <w:pStyle w:val="Default"/>
        <w:spacing w:line="480" w:lineRule="auto"/>
        <w:ind w:left="720"/>
        <w:rPr>
          <w:b/>
        </w:rPr>
      </w:pPr>
    </w:p>
    <w:p w14:paraId="42FC266F" w14:textId="77777777" w:rsidR="008D26C5" w:rsidRDefault="009435A7" w:rsidP="009435A7">
      <w:pPr>
        <w:pStyle w:val="Default"/>
        <w:spacing w:line="480" w:lineRule="auto"/>
        <w:rPr>
          <w:rFonts w:eastAsia="Times New Roman"/>
        </w:rPr>
      </w:pPr>
      <w:r>
        <w:tab/>
      </w:r>
      <w:r w:rsidR="00711071">
        <w:t>W</w:t>
      </w:r>
      <w:r w:rsidR="008D26C5" w:rsidRPr="009435A7">
        <w:t xml:space="preserve">hen interpreting statutes, the court’s analysis must begin with the language employed by Congress. </w:t>
      </w:r>
      <w:proofErr w:type="gramStart"/>
      <w:r w:rsidR="008D26C5" w:rsidRPr="009435A7">
        <w:rPr>
          <w:rFonts w:eastAsia="Times New Roman"/>
          <w:i/>
        </w:rPr>
        <w:t xml:space="preserve">Reiter v. </w:t>
      </w:r>
      <w:proofErr w:type="spellStart"/>
      <w:r w:rsidR="008D26C5" w:rsidRPr="009435A7">
        <w:rPr>
          <w:rFonts w:eastAsia="Times New Roman"/>
          <w:i/>
        </w:rPr>
        <w:t>Sonotone</w:t>
      </w:r>
      <w:proofErr w:type="spellEnd"/>
      <w:r w:rsidR="008D26C5" w:rsidRPr="009435A7">
        <w:rPr>
          <w:rFonts w:eastAsia="Times New Roman"/>
          <w:i/>
        </w:rPr>
        <w:t xml:space="preserve"> Corp.</w:t>
      </w:r>
      <w:r w:rsidR="008D26C5" w:rsidRPr="009435A7">
        <w:rPr>
          <w:rFonts w:eastAsia="Times New Roman"/>
        </w:rPr>
        <w:t>, 442 U.S. 330, 337 (1979).</w:t>
      </w:r>
      <w:proofErr w:type="gramEnd"/>
      <w:r w:rsidR="008D26C5" w:rsidRPr="009435A7">
        <w:rPr>
          <w:rFonts w:eastAsia="Times New Roman"/>
        </w:rPr>
        <w:t xml:space="preserve"> </w:t>
      </w:r>
      <w:r>
        <w:rPr>
          <w:rFonts w:eastAsia="Times New Roman"/>
        </w:rPr>
        <w:t>W</w:t>
      </w:r>
      <w:r w:rsidRPr="009435A7">
        <w:rPr>
          <w:rFonts w:eastAsia="Times New Roman"/>
        </w:rPr>
        <w:t xml:space="preserve">ithout clear legislative intent to the contrary, “that language must ordinarily be regarded as conclusive.” </w:t>
      </w:r>
      <w:r w:rsidRPr="009435A7">
        <w:rPr>
          <w:rFonts w:eastAsia="Times New Roman"/>
          <w:i/>
        </w:rPr>
        <w:t xml:space="preserve">Consumer Prod. </w:t>
      </w:r>
      <w:proofErr w:type="gramStart"/>
      <w:r w:rsidRPr="009435A7">
        <w:rPr>
          <w:rFonts w:eastAsia="Times New Roman"/>
          <w:i/>
        </w:rPr>
        <w:t xml:space="preserve">Safety </w:t>
      </w:r>
      <w:proofErr w:type="spellStart"/>
      <w:r w:rsidRPr="009435A7">
        <w:rPr>
          <w:rFonts w:eastAsia="Times New Roman"/>
          <w:i/>
        </w:rPr>
        <w:t>Comm'n</w:t>
      </w:r>
      <w:proofErr w:type="spellEnd"/>
      <w:r w:rsidRPr="009435A7">
        <w:rPr>
          <w:rFonts w:eastAsia="Times New Roman"/>
          <w:i/>
        </w:rPr>
        <w:t xml:space="preserve"> v. GTE Sylvania, Inc.</w:t>
      </w:r>
      <w:r w:rsidRPr="009435A7">
        <w:rPr>
          <w:rFonts w:eastAsia="Times New Roman"/>
        </w:rPr>
        <w:t>, 447 U.S. 102, 108 (1980).</w:t>
      </w:r>
      <w:proofErr w:type="gramEnd"/>
      <w:r w:rsidRPr="009435A7">
        <w:rPr>
          <w:rFonts w:eastAsia="Times New Roman"/>
        </w:rPr>
        <w:t xml:space="preserve"> </w:t>
      </w:r>
      <w:r>
        <w:rPr>
          <w:rFonts w:eastAsia="Times New Roman"/>
        </w:rPr>
        <w:t xml:space="preserve">The plain meaning of </w:t>
      </w:r>
      <w:r w:rsidR="00711071">
        <w:rPr>
          <w:rFonts w:eastAsia="Times New Roman"/>
        </w:rPr>
        <w:t>the language of the Copyright Act requires that the writing be</w:t>
      </w:r>
      <w:r w:rsidR="00CE6DCB">
        <w:rPr>
          <w:rFonts w:eastAsia="Times New Roman"/>
        </w:rPr>
        <w:t xml:space="preserve"> signed prior to the work being completed</w:t>
      </w:r>
      <w:r w:rsidR="00711071">
        <w:rPr>
          <w:rFonts w:eastAsia="Times New Roman"/>
        </w:rPr>
        <w:t>, and thus demands dismissal of the complaint</w:t>
      </w:r>
      <w:r w:rsidR="00CE6DCB">
        <w:rPr>
          <w:rFonts w:eastAsia="Times New Roman"/>
        </w:rPr>
        <w:t>.</w:t>
      </w:r>
    </w:p>
    <w:p w14:paraId="5E5B546D" w14:textId="77777777" w:rsidR="000E491F" w:rsidRDefault="000E491F" w:rsidP="00456F73">
      <w:pPr>
        <w:pStyle w:val="Default"/>
        <w:spacing w:line="480" w:lineRule="auto"/>
      </w:pPr>
      <w:r>
        <w:rPr>
          <w:rFonts w:eastAsia="Times New Roman"/>
        </w:rPr>
        <w:tab/>
      </w:r>
      <w:r w:rsidR="007170F4">
        <w:rPr>
          <w:rFonts w:eastAsia="Times New Roman"/>
        </w:rPr>
        <w:t>Because Lime was not an employee of OGS</w:t>
      </w:r>
      <w:r w:rsidR="00711071">
        <w:rPr>
          <w:rFonts w:eastAsia="Times New Roman"/>
        </w:rPr>
        <w:t xml:space="preserve">, a </w:t>
      </w:r>
      <w:r w:rsidR="00E40BF5">
        <w:rPr>
          <w:rFonts w:eastAsia="Times New Roman"/>
        </w:rPr>
        <w:t>Work Made for Hire</w:t>
      </w:r>
      <w:r w:rsidR="00711071">
        <w:rPr>
          <w:rFonts w:eastAsia="Times New Roman"/>
        </w:rPr>
        <w:t xml:space="preserve"> must be</w:t>
      </w:r>
      <w:r w:rsidR="007170F4">
        <w:rPr>
          <w:rFonts w:eastAsia="Times New Roman"/>
        </w:rPr>
        <w:t xml:space="preserve"> “a work specially ordered or commissioned for use . . .” </w:t>
      </w:r>
      <w:r w:rsidR="00711071">
        <w:rPr>
          <w:rFonts w:eastAsia="Times New Roman"/>
        </w:rPr>
        <w:t xml:space="preserve">17 U.S.C. </w:t>
      </w:r>
      <w:r w:rsidR="001F5AA2">
        <w:rPr>
          <w:rFonts w:eastAsia="Times New Roman"/>
        </w:rPr>
        <w:t>§101.</w:t>
      </w:r>
      <w:r w:rsidR="007170F4">
        <w:rPr>
          <w:rFonts w:eastAsia="Times New Roman"/>
        </w:rPr>
        <w:t xml:space="preserve"> </w:t>
      </w:r>
      <w:r w:rsidR="00A10A73">
        <w:rPr>
          <w:rFonts w:eastAsia="Times New Roman"/>
        </w:rPr>
        <w:t>Merriam-Webster</w:t>
      </w:r>
      <w:r w:rsidR="00456F73">
        <w:rPr>
          <w:rFonts w:eastAsia="Times New Roman"/>
        </w:rPr>
        <w:t xml:space="preserve"> </w:t>
      </w:r>
      <w:r w:rsidR="00F13616">
        <w:rPr>
          <w:rFonts w:eastAsia="Times New Roman"/>
        </w:rPr>
        <w:t xml:space="preserve">defines “commission” as “to </w:t>
      </w:r>
      <w:r w:rsidR="00A10A73">
        <w:rPr>
          <w:rFonts w:eastAsia="Times New Roman"/>
        </w:rPr>
        <w:t>appoint or assign to a task or function”</w:t>
      </w:r>
      <w:r w:rsidR="00F13616">
        <w:rPr>
          <w:rFonts w:eastAsia="Times New Roman"/>
        </w:rPr>
        <w:t xml:space="preserve"> </w:t>
      </w:r>
      <w:r w:rsidR="00F13616" w:rsidRPr="00FF34FA">
        <w:rPr>
          <w:rFonts w:eastAsia="Times New Roman"/>
          <w:color w:val="auto"/>
        </w:rPr>
        <w:t xml:space="preserve">and “order” as </w:t>
      </w:r>
      <w:r w:rsidR="00FF34FA" w:rsidRPr="00FF34FA">
        <w:rPr>
          <w:rFonts w:eastAsia="Times New Roman"/>
          <w:color w:val="auto"/>
        </w:rPr>
        <w:t>“</w:t>
      </w:r>
      <w:r w:rsidR="00A10A73">
        <w:rPr>
          <w:rFonts w:eastAsia="Times New Roman"/>
          <w:color w:val="auto"/>
        </w:rPr>
        <w:t>to give an order, command</w:t>
      </w:r>
      <w:r w:rsidR="00F13616" w:rsidRPr="00FF34FA">
        <w:rPr>
          <w:rFonts w:eastAsia="Times New Roman"/>
          <w:color w:val="auto"/>
        </w:rPr>
        <w:t>.</w:t>
      </w:r>
      <w:r w:rsidR="00FF34FA" w:rsidRPr="00FF34FA">
        <w:rPr>
          <w:rFonts w:eastAsia="Times New Roman"/>
          <w:color w:val="auto"/>
        </w:rPr>
        <w:t>”</w:t>
      </w:r>
      <w:r w:rsidR="00F13616" w:rsidRPr="00FF34FA">
        <w:rPr>
          <w:rFonts w:eastAsia="Times New Roman"/>
          <w:color w:val="auto"/>
        </w:rPr>
        <w:t xml:space="preserve"> </w:t>
      </w:r>
      <w:proofErr w:type="gramStart"/>
      <w:r w:rsidR="00A10A73">
        <w:rPr>
          <w:rFonts w:eastAsia="Times New Roman"/>
          <w:i/>
          <w:color w:val="auto"/>
        </w:rPr>
        <w:t xml:space="preserve">Merriam-Webster’s Collegiate </w:t>
      </w:r>
      <w:r w:rsidR="00A10A73" w:rsidRPr="00A10A73">
        <w:rPr>
          <w:rFonts w:eastAsia="Times New Roman"/>
          <w:i/>
          <w:color w:val="auto"/>
        </w:rPr>
        <w:t>Dictionary</w:t>
      </w:r>
      <w:r w:rsidR="00456F73">
        <w:rPr>
          <w:rFonts w:eastAsia="Times New Roman"/>
          <w:color w:val="auto"/>
        </w:rPr>
        <w:t xml:space="preserve"> 250 and 873 (11th ed. 2003).</w:t>
      </w:r>
      <w:proofErr w:type="gramEnd"/>
      <w:r w:rsidR="00A10A73">
        <w:rPr>
          <w:rFonts w:eastAsia="Times New Roman"/>
          <w:i/>
          <w:color w:val="auto"/>
        </w:rPr>
        <w:t xml:space="preserve">  </w:t>
      </w:r>
      <w:r w:rsidR="00F13616" w:rsidRPr="00A10A73">
        <w:rPr>
          <w:rFonts w:eastAsia="Times New Roman"/>
        </w:rPr>
        <w:t>These</w:t>
      </w:r>
      <w:r w:rsidR="00F13616">
        <w:rPr>
          <w:rFonts w:eastAsia="Times New Roman"/>
        </w:rPr>
        <w:t xml:space="preserve"> plain meanings of </w:t>
      </w:r>
      <w:r w:rsidR="00FF34FA">
        <w:rPr>
          <w:rFonts w:eastAsia="Times New Roman"/>
        </w:rPr>
        <w:t>“ordered” and “commissioned”</w:t>
      </w:r>
      <w:r w:rsidR="00F13616">
        <w:rPr>
          <w:rFonts w:eastAsia="Times New Roman"/>
        </w:rPr>
        <w:t xml:space="preserve"> </w:t>
      </w:r>
      <w:r w:rsidR="000D3321">
        <w:rPr>
          <w:rFonts w:eastAsia="Times New Roman"/>
        </w:rPr>
        <w:t xml:space="preserve">indicate that the works cannot already be in existence, because then the </w:t>
      </w:r>
      <w:r w:rsidR="001C0DE6">
        <w:rPr>
          <w:rFonts w:eastAsia="Times New Roman"/>
        </w:rPr>
        <w:t>task</w:t>
      </w:r>
      <w:r w:rsidR="000D3321">
        <w:rPr>
          <w:rFonts w:eastAsia="Times New Roman"/>
        </w:rPr>
        <w:t xml:space="preserve"> could not be </w:t>
      </w:r>
      <w:r w:rsidR="00456F73">
        <w:rPr>
          <w:rFonts w:eastAsia="Times New Roman"/>
        </w:rPr>
        <w:t>assigned</w:t>
      </w:r>
      <w:r w:rsidR="000D3321">
        <w:rPr>
          <w:rFonts w:eastAsia="Times New Roman"/>
        </w:rPr>
        <w:t xml:space="preserve"> or </w:t>
      </w:r>
      <w:r w:rsidR="00456F73">
        <w:rPr>
          <w:rFonts w:eastAsia="Times New Roman"/>
        </w:rPr>
        <w:t>commanded</w:t>
      </w:r>
      <w:r w:rsidR="000D3321">
        <w:rPr>
          <w:rFonts w:eastAsia="Times New Roman"/>
        </w:rPr>
        <w:t>.</w:t>
      </w:r>
      <w:r w:rsidR="00B22314">
        <w:rPr>
          <w:rFonts w:eastAsia="Times New Roman"/>
        </w:rPr>
        <w:t xml:space="preserve"> </w:t>
      </w:r>
      <w:r w:rsidR="00F13616">
        <w:rPr>
          <w:rFonts w:eastAsia="Times New Roman"/>
        </w:rPr>
        <w:t xml:space="preserve">The Supreme Court has allowed the use of the </w:t>
      </w:r>
      <w:r w:rsidR="00456F73">
        <w:rPr>
          <w:rFonts w:eastAsia="Times New Roman"/>
        </w:rPr>
        <w:t xml:space="preserve">Merriam-Webster </w:t>
      </w:r>
      <w:r w:rsidR="00F13616">
        <w:rPr>
          <w:rFonts w:eastAsia="Times New Roman"/>
        </w:rPr>
        <w:t xml:space="preserve">Dictionary to help define terms. </w:t>
      </w:r>
      <w:proofErr w:type="spellStart"/>
      <w:proofErr w:type="gramStart"/>
      <w:r w:rsidR="00456F73" w:rsidRPr="00456F73">
        <w:rPr>
          <w:i/>
        </w:rPr>
        <w:t>Rapanos</w:t>
      </w:r>
      <w:proofErr w:type="spellEnd"/>
      <w:r w:rsidR="00456F73" w:rsidRPr="00456F73">
        <w:rPr>
          <w:i/>
        </w:rPr>
        <w:t xml:space="preserve"> v. United States, </w:t>
      </w:r>
      <w:r w:rsidR="00456F73" w:rsidRPr="00456F73">
        <w:t>547 U.S. 715, 716, (2006)</w:t>
      </w:r>
      <w:r w:rsidR="00F13616" w:rsidRPr="00456F73">
        <w:t>,</w:t>
      </w:r>
      <w:r w:rsidR="00F13616" w:rsidRPr="005153C2">
        <w:t xml:space="preserve"> </w:t>
      </w:r>
      <w:r w:rsidR="00F13616">
        <w:t xml:space="preserve">using </w:t>
      </w:r>
      <w:r w:rsidR="00456F73">
        <w:t>Webster</w:t>
      </w:r>
      <w:r w:rsidR="00F13616">
        <w:t xml:space="preserve"> to define “</w:t>
      </w:r>
      <w:r w:rsidR="00456F73">
        <w:t>waters</w:t>
      </w:r>
      <w:r w:rsidR="00F13616">
        <w:t>”.</w:t>
      </w:r>
      <w:proofErr w:type="gramEnd"/>
      <w:r w:rsidR="00F13616">
        <w:t xml:space="preserve"> </w:t>
      </w:r>
      <w:r w:rsidR="00F13616">
        <w:rPr>
          <w:rFonts w:eastAsia="Times New Roman"/>
        </w:rPr>
        <w:t>The Ninth Circuit has expressly followed this meaning</w:t>
      </w:r>
      <w:r w:rsidR="00E92A53">
        <w:rPr>
          <w:rFonts w:eastAsia="Times New Roman"/>
        </w:rPr>
        <w:t xml:space="preserve">, </w:t>
      </w:r>
      <w:r w:rsidR="00F13616">
        <w:rPr>
          <w:rFonts w:eastAsia="Times New Roman"/>
        </w:rPr>
        <w:t>stating that “</w:t>
      </w:r>
      <w:r w:rsidR="00F13616">
        <w:t xml:space="preserve">works ‘specially ordered or commissioned’ can only be made </w:t>
      </w:r>
      <w:r w:rsidR="00F13616">
        <w:rPr>
          <w:rStyle w:val="Emphasis"/>
        </w:rPr>
        <w:t>after</w:t>
      </w:r>
      <w:r w:rsidR="00F13616">
        <w:t xml:space="preserve"> the execution of an express agreement between the parties</w:t>
      </w:r>
      <w:r w:rsidR="00B22314">
        <w:rPr>
          <w:rFonts w:eastAsia="Times New Roman"/>
        </w:rPr>
        <w:t>.</w:t>
      </w:r>
      <w:r w:rsidR="00F13616">
        <w:rPr>
          <w:rFonts w:eastAsia="Times New Roman"/>
        </w:rPr>
        <w:t>”</w:t>
      </w:r>
      <w:r w:rsidR="00B22314">
        <w:rPr>
          <w:rFonts w:eastAsia="Times New Roman"/>
        </w:rPr>
        <w:t xml:space="preserve"> </w:t>
      </w:r>
      <w:proofErr w:type="spellStart"/>
      <w:proofErr w:type="gramStart"/>
      <w:r w:rsidR="00B22314">
        <w:rPr>
          <w:rFonts w:eastAsia="Times New Roman"/>
          <w:i/>
        </w:rPr>
        <w:t>Gladwell</w:t>
      </w:r>
      <w:proofErr w:type="spellEnd"/>
      <w:r w:rsidR="00B22314">
        <w:rPr>
          <w:rFonts w:eastAsia="Times New Roman"/>
          <w:i/>
        </w:rPr>
        <w:t xml:space="preserve"> Gov’t Services, Inc. v. County of Marin</w:t>
      </w:r>
      <w:r w:rsidR="00B22314">
        <w:rPr>
          <w:rFonts w:eastAsia="Times New Roman"/>
        </w:rPr>
        <w:t xml:space="preserve">, 265 F. </w:t>
      </w:r>
      <w:proofErr w:type="spellStart"/>
      <w:r w:rsidR="00B22314">
        <w:rPr>
          <w:rFonts w:eastAsia="Times New Roman"/>
        </w:rPr>
        <w:t>App’x</w:t>
      </w:r>
      <w:proofErr w:type="spellEnd"/>
      <w:r w:rsidR="00B22314">
        <w:rPr>
          <w:rFonts w:eastAsia="Times New Roman"/>
        </w:rPr>
        <w:t xml:space="preserve"> 624, 626 (9th Cir. 2008).</w:t>
      </w:r>
      <w:proofErr w:type="gramEnd"/>
      <w:r w:rsidR="00E92A53">
        <w:rPr>
          <w:rFonts w:eastAsia="Times New Roman"/>
        </w:rPr>
        <w:t xml:space="preserve"> </w:t>
      </w:r>
    </w:p>
    <w:p w14:paraId="70C2CD36" w14:textId="77777777" w:rsidR="00D509AE" w:rsidRPr="003E75B9" w:rsidRDefault="001E002F" w:rsidP="003E75B9">
      <w:pPr>
        <w:pStyle w:val="Default"/>
        <w:spacing w:line="480" w:lineRule="auto"/>
        <w:rPr>
          <w:color w:val="auto"/>
        </w:rPr>
      </w:pPr>
      <w:r>
        <w:tab/>
        <w:t>Additionally</w:t>
      </w:r>
      <w:r w:rsidR="00D509AE">
        <w:t xml:space="preserve">, the definition states that </w:t>
      </w:r>
      <w:r w:rsidR="00D509AE" w:rsidRPr="00D509AE">
        <w:t xml:space="preserve">the parties </w:t>
      </w:r>
      <w:r w:rsidR="00D509AE">
        <w:t>must “</w:t>
      </w:r>
      <w:r w:rsidR="00D509AE" w:rsidRPr="00D509AE">
        <w:t xml:space="preserve">expressly agree in a written instrument signed by them that the work </w:t>
      </w:r>
      <w:r w:rsidR="00D509AE" w:rsidRPr="00D509AE">
        <w:rPr>
          <w:i/>
        </w:rPr>
        <w:t>shall</w:t>
      </w:r>
      <w:r w:rsidR="00D509AE" w:rsidRPr="00D509AE">
        <w:t xml:space="preserve"> be</w:t>
      </w:r>
      <w:r w:rsidR="00D509AE">
        <w:t xml:space="preserve"> considered a </w:t>
      </w:r>
      <w:r w:rsidR="00E40BF5">
        <w:t>Work Made for Hire</w:t>
      </w:r>
      <w:r w:rsidR="00B139A7">
        <w:t>.” §101 (</w:t>
      </w:r>
      <w:r w:rsidR="00D509AE">
        <w:t>emphasis added</w:t>
      </w:r>
      <w:r w:rsidR="00B139A7">
        <w:t>)</w:t>
      </w:r>
      <w:r w:rsidR="00D509AE">
        <w:t xml:space="preserve">. </w:t>
      </w:r>
      <w:r w:rsidR="003E75B9">
        <w:t xml:space="preserve">The word “shall” carries with it a presumption of an action being mandatory in nature. </w:t>
      </w:r>
      <w:r w:rsidR="003E75B9">
        <w:rPr>
          <w:i/>
        </w:rPr>
        <w:t>See Mallard v. United States Dist. Ct.</w:t>
      </w:r>
      <w:r w:rsidR="003E75B9">
        <w:t xml:space="preserve">, 490 U.S. 296, 302 (1989). The plain meaning of the word also indicates the future tense – an action that </w:t>
      </w:r>
      <w:r w:rsidR="00456F73">
        <w:t>happen</w:t>
      </w:r>
      <w:r w:rsidR="002362E8">
        <w:t>s</w:t>
      </w:r>
      <w:r w:rsidR="00456F73">
        <w:t xml:space="preserve"> in the future</w:t>
      </w:r>
      <w:r w:rsidR="003E75B9">
        <w:t xml:space="preserve">. </w:t>
      </w:r>
      <w:r w:rsidR="00456F73">
        <w:rPr>
          <w:i/>
          <w:color w:val="auto"/>
        </w:rPr>
        <w:t>Merriam-Webster</w:t>
      </w:r>
      <w:r w:rsidR="00456F73">
        <w:rPr>
          <w:color w:val="auto"/>
        </w:rPr>
        <w:t xml:space="preserve"> </w:t>
      </w:r>
      <w:r w:rsidR="00456F73">
        <w:rPr>
          <w:color w:val="auto"/>
        </w:rPr>
        <w:lastRenderedPageBreak/>
        <w:t>1143 (11th ed. 2003).</w:t>
      </w:r>
      <w:r w:rsidR="003E75B9">
        <w:rPr>
          <w:color w:val="FF0000"/>
        </w:rPr>
        <w:t xml:space="preserve"> </w:t>
      </w:r>
      <w:r w:rsidR="003E75B9">
        <w:rPr>
          <w:color w:val="auto"/>
        </w:rPr>
        <w:t>This meaning has been explicitly applied by courts, stating,</w:t>
      </w:r>
      <w:r w:rsidR="003E75B9" w:rsidRPr="003E75B9">
        <w:rPr>
          <w:color w:val="auto"/>
        </w:rPr>
        <w:t xml:space="preserve"> </w:t>
      </w:r>
      <w:r w:rsidR="003E75B9">
        <w:rPr>
          <w:color w:val="auto"/>
        </w:rPr>
        <w:t>“Generally, ‘</w:t>
      </w:r>
      <w:r w:rsidR="003E75B9" w:rsidRPr="003E75B9">
        <w:rPr>
          <w:color w:val="auto"/>
        </w:rPr>
        <w:t>s</w:t>
      </w:r>
      <w:r w:rsidR="003E75B9">
        <w:rPr>
          <w:color w:val="auto"/>
        </w:rPr>
        <w:t>hall’</w:t>
      </w:r>
      <w:r w:rsidR="003E75B9" w:rsidRPr="003E75B9">
        <w:rPr>
          <w:color w:val="auto"/>
        </w:rPr>
        <w:t xml:space="preserve"> is interpreted to be mandatory where it refers to some action </w:t>
      </w:r>
      <w:r w:rsidR="003E75B9" w:rsidRPr="003E75B9">
        <w:rPr>
          <w:i/>
          <w:color w:val="auto"/>
        </w:rPr>
        <w:t>preceding</w:t>
      </w:r>
      <w:r w:rsidR="003E75B9" w:rsidRPr="003E75B9">
        <w:rPr>
          <w:color w:val="auto"/>
        </w:rPr>
        <w:t xml:space="preserve"> the possible deprivation of a substantive right</w:t>
      </w:r>
      <w:r w:rsidR="003E75B9">
        <w:rPr>
          <w:color w:val="auto"/>
        </w:rPr>
        <w:t xml:space="preserve">. . .” </w:t>
      </w:r>
      <w:proofErr w:type="spellStart"/>
      <w:r w:rsidR="003E75B9" w:rsidRPr="003E75B9">
        <w:rPr>
          <w:i/>
          <w:color w:val="auto"/>
        </w:rPr>
        <w:t>Shands</w:t>
      </w:r>
      <w:proofErr w:type="spellEnd"/>
      <w:r w:rsidR="003E75B9" w:rsidRPr="003E75B9">
        <w:rPr>
          <w:i/>
          <w:color w:val="auto"/>
        </w:rPr>
        <w:t xml:space="preserve"> Teaching Hosp. &amp; Clinics, Inc. v. </w:t>
      </w:r>
      <w:proofErr w:type="spellStart"/>
      <w:r w:rsidR="003E75B9" w:rsidRPr="003E75B9">
        <w:rPr>
          <w:i/>
          <w:color w:val="auto"/>
        </w:rPr>
        <w:t>Sidky</w:t>
      </w:r>
      <w:proofErr w:type="spellEnd"/>
      <w:r w:rsidR="003E75B9" w:rsidRPr="003E75B9">
        <w:rPr>
          <w:color w:val="auto"/>
        </w:rPr>
        <w:t>, 936 So. 2d 715, 721 (Fla. Dist. Ct. App. 2006)</w:t>
      </w:r>
      <w:r w:rsidR="003E75B9">
        <w:rPr>
          <w:color w:val="auto"/>
        </w:rPr>
        <w:t xml:space="preserve">, emphasis added. </w:t>
      </w:r>
      <w:r w:rsidR="003E75B9">
        <w:rPr>
          <w:i/>
          <w:color w:val="auto"/>
        </w:rPr>
        <w:t>See also Neal v. Bryant</w:t>
      </w:r>
      <w:r w:rsidR="003E75B9">
        <w:rPr>
          <w:color w:val="auto"/>
        </w:rPr>
        <w:t xml:space="preserve">, </w:t>
      </w:r>
      <w:r w:rsidR="003E75B9" w:rsidRPr="003E75B9">
        <w:rPr>
          <w:color w:val="auto"/>
        </w:rPr>
        <w:t>149 So.2d 529</w:t>
      </w:r>
      <w:r w:rsidR="00456F73">
        <w:rPr>
          <w:color w:val="auto"/>
        </w:rPr>
        <w:t xml:space="preserve">, 532 (1962); </w:t>
      </w:r>
      <w:proofErr w:type="spellStart"/>
      <w:r w:rsidR="003E75B9">
        <w:rPr>
          <w:i/>
          <w:color w:val="auto"/>
        </w:rPr>
        <w:t>Hurford</w:t>
      </w:r>
      <w:proofErr w:type="spellEnd"/>
      <w:r w:rsidR="003E75B9">
        <w:rPr>
          <w:i/>
          <w:color w:val="auto"/>
        </w:rPr>
        <w:t xml:space="preserve"> v. City of Omaha</w:t>
      </w:r>
      <w:r w:rsidR="003E75B9">
        <w:rPr>
          <w:color w:val="auto"/>
        </w:rPr>
        <w:t xml:space="preserve">, 4 Neb. 336 (1876). </w:t>
      </w:r>
      <w:r w:rsidR="00456F73">
        <w:rPr>
          <w:color w:val="auto"/>
        </w:rPr>
        <w:t xml:space="preserve">Lime would be giving up a substantive right to the screenplay, so it is important that the Court recognize the future tense of the word. </w:t>
      </w:r>
      <w:r w:rsidR="003E75B9">
        <w:rPr>
          <w:color w:val="auto"/>
        </w:rPr>
        <w:t xml:space="preserve">The </w:t>
      </w:r>
      <w:r w:rsidR="00456F73">
        <w:rPr>
          <w:color w:val="auto"/>
        </w:rPr>
        <w:t>plain meaning of the word</w:t>
      </w:r>
      <w:r w:rsidR="003E75B9">
        <w:rPr>
          <w:color w:val="auto"/>
        </w:rPr>
        <w:t xml:space="preserve"> “shall”, as part of the</w:t>
      </w:r>
      <w:r w:rsidR="002362E8">
        <w:rPr>
          <w:color w:val="auto"/>
        </w:rPr>
        <w:t xml:space="preserve"> phrase “shall be considered a Work Made for H</w:t>
      </w:r>
      <w:r w:rsidR="003E75B9">
        <w:rPr>
          <w:color w:val="auto"/>
        </w:rPr>
        <w:t xml:space="preserve">ire” </w:t>
      </w:r>
      <w:r w:rsidR="00456F73">
        <w:rPr>
          <w:color w:val="auto"/>
        </w:rPr>
        <w:t>expressly</w:t>
      </w:r>
      <w:r w:rsidR="003E75B9">
        <w:rPr>
          <w:color w:val="auto"/>
        </w:rPr>
        <w:t xml:space="preserve"> means that at the time of the signing, the work has not yet been created. </w:t>
      </w:r>
      <w:r w:rsidR="00B139A7">
        <w:rPr>
          <w:color w:val="auto"/>
        </w:rPr>
        <w:t>Because Lime had already completed the screenplay at the time of the signing, t</w:t>
      </w:r>
      <w:r w:rsidR="003E75B9">
        <w:rPr>
          <w:color w:val="auto"/>
        </w:rPr>
        <w:t>hese plain language applications demand that the court dismiss the plaintiff’s complaint.</w:t>
      </w:r>
    </w:p>
    <w:p w14:paraId="7C4774DE" w14:textId="77777777" w:rsidR="00996ADF" w:rsidRDefault="00996ADF" w:rsidP="00D509AE">
      <w:pPr>
        <w:pStyle w:val="Default"/>
        <w:spacing w:line="480" w:lineRule="auto"/>
      </w:pPr>
    </w:p>
    <w:p w14:paraId="5C5B6A59" w14:textId="77777777" w:rsidR="00996ADF" w:rsidRDefault="003E75B9" w:rsidP="00996ADF">
      <w:pPr>
        <w:pStyle w:val="Default"/>
        <w:numPr>
          <w:ilvl w:val="0"/>
          <w:numId w:val="1"/>
        </w:numPr>
        <w:spacing w:line="480" w:lineRule="auto"/>
        <w:rPr>
          <w:b/>
        </w:rPr>
      </w:pPr>
      <w:r>
        <w:rPr>
          <w:b/>
        </w:rPr>
        <w:t xml:space="preserve">Allowing a </w:t>
      </w:r>
      <w:r w:rsidR="00B139A7">
        <w:rPr>
          <w:b/>
        </w:rPr>
        <w:t>Work-Made-for-Hire A</w:t>
      </w:r>
      <w:r w:rsidR="006D49FD">
        <w:rPr>
          <w:b/>
        </w:rPr>
        <w:t>greement</w:t>
      </w:r>
      <w:r>
        <w:rPr>
          <w:b/>
        </w:rPr>
        <w:t xml:space="preserve"> to be </w:t>
      </w:r>
      <w:proofErr w:type="gramStart"/>
      <w:r>
        <w:rPr>
          <w:b/>
        </w:rPr>
        <w:t>Signed</w:t>
      </w:r>
      <w:proofErr w:type="gramEnd"/>
      <w:r>
        <w:rPr>
          <w:b/>
        </w:rPr>
        <w:t xml:space="preserve"> after Creation of the Work Would be Inconsistent with the Statute as a Whole and Render Part of the Act Superfluous.</w:t>
      </w:r>
    </w:p>
    <w:p w14:paraId="3A0BC25B" w14:textId="77777777" w:rsidR="001D4B35" w:rsidRDefault="001D4B35" w:rsidP="003E75B9">
      <w:pPr>
        <w:pStyle w:val="Default"/>
        <w:spacing w:line="480" w:lineRule="auto"/>
        <w:ind w:firstLine="720"/>
        <w:rPr>
          <w:b/>
        </w:rPr>
      </w:pPr>
    </w:p>
    <w:p w14:paraId="702BF7B8" w14:textId="77777777" w:rsidR="00996ADF" w:rsidRPr="00716A02" w:rsidRDefault="00996ADF" w:rsidP="003E75B9">
      <w:pPr>
        <w:pStyle w:val="Default"/>
        <w:spacing w:line="480" w:lineRule="auto"/>
        <w:ind w:firstLine="720"/>
      </w:pPr>
      <w:r>
        <w:t>When interpreting a statute</w:t>
      </w:r>
      <w:r w:rsidR="00B1746E">
        <w:t>, court</w:t>
      </w:r>
      <w:r w:rsidR="00B139A7">
        <w:t>s</w:t>
      </w:r>
      <w:r w:rsidR="00B1746E">
        <w:t xml:space="preserve"> should favor an interpretation that produces internal consistency with the statute as a whole. </w:t>
      </w:r>
      <w:proofErr w:type="gramStart"/>
      <w:r w:rsidR="008D18ED">
        <w:rPr>
          <w:i/>
        </w:rPr>
        <w:t>Nat’</w:t>
      </w:r>
      <w:r w:rsidR="00B1746E">
        <w:rPr>
          <w:i/>
        </w:rPr>
        <w:t xml:space="preserve">l </w:t>
      </w:r>
      <w:r w:rsidR="003E75B9">
        <w:rPr>
          <w:i/>
        </w:rPr>
        <w:t>Credit Union Admin v.</w:t>
      </w:r>
      <w:proofErr w:type="gramEnd"/>
      <w:r w:rsidR="003E75B9">
        <w:rPr>
          <w:i/>
        </w:rPr>
        <w:t xml:space="preserve"> First Nat’</w:t>
      </w:r>
      <w:r w:rsidR="00B1746E">
        <w:rPr>
          <w:i/>
        </w:rPr>
        <w:t>l Bank &amp; Trust Co.</w:t>
      </w:r>
      <w:r w:rsidR="00B1746E">
        <w:t xml:space="preserve">, 552 U.S. 479 (1997). 17 U.S.C. §201(a) says that “copyright in a work protected under this title </w:t>
      </w:r>
      <w:r w:rsidR="00B1746E" w:rsidRPr="00B1746E">
        <w:rPr>
          <w:i/>
        </w:rPr>
        <w:t>vests initially in the author</w:t>
      </w:r>
      <w:r w:rsidR="00B1746E">
        <w:t xml:space="preserve"> or authors of the work” (emphasis added). </w:t>
      </w:r>
      <w:r w:rsidR="005765ED">
        <w:t xml:space="preserve">Additionally, §101 clarifies that a “work is created when it is fixed in copy . . . for the first time.” Thus, copyright vests in the author from the moment of fixation, not publication or any later date. </w:t>
      </w:r>
      <w:proofErr w:type="gramStart"/>
      <w:r w:rsidR="005765ED">
        <w:rPr>
          <w:i/>
        </w:rPr>
        <w:t xml:space="preserve">Dumas v. </w:t>
      </w:r>
      <w:proofErr w:type="spellStart"/>
      <w:r w:rsidR="005765ED">
        <w:rPr>
          <w:i/>
        </w:rPr>
        <w:t>Gommerman</w:t>
      </w:r>
      <w:proofErr w:type="spellEnd"/>
      <w:r w:rsidR="005765ED">
        <w:t>, 865 F.2d 1093, 1097 (9th Cir. 1989).</w:t>
      </w:r>
      <w:proofErr w:type="gramEnd"/>
      <w:r w:rsidR="005765ED">
        <w:t xml:space="preserve"> </w:t>
      </w:r>
      <w:r w:rsidR="003E75B9">
        <w:t xml:space="preserve">Section 201(b) states, “In the case of a work made for hire, the employer or other person for whom the work was prepared is considered the </w:t>
      </w:r>
      <w:r w:rsidR="003E75B9">
        <w:lastRenderedPageBreak/>
        <w:t>author for purposes of this title, and, unless the parties have expressly agreed otherwise in a written instrument signed by them, owns all of the rights comprised in the copyright.</w:t>
      </w:r>
      <w:r w:rsidR="00934BEB">
        <w:t>”</w:t>
      </w:r>
      <w:r w:rsidR="003E75B9">
        <w:t xml:space="preserve"> In </w:t>
      </w:r>
      <w:r w:rsidR="00531C8A">
        <w:t>order for §201(a) and (b)</w:t>
      </w:r>
      <w:r w:rsidR="003E75B9">
        <w:t xml:space="preserve"> </w:t>
      </w:r>
      <w:r w:rsidR="00531C8A">
        <w:t>to be consistent, there must be a signed writing beforehand</w:t>
      </w:r>
      <w:r w:rsidR="00736C32">
        <w:t>;</w:t>
      </w:r>
      <w:r w:rsidR="00531C8A">
        <w:t xml:space="preserve"> </w:t>
      </w:r>
      <w:r w:rsidR="00EA5AE6">
        <w:t>b</w:t>
      </w:r>
      <w:r w:rsidR="00531C8A">
        <w:t>ecause copyright vests as soon as something is written down,</w:t>
      </w:r>
      <w:r w:rsidR="00736C32">
        <w:t xml:space="preserve"> </w:t>
      </w:r>
      <w:r w:rsidR="00531C8A">
        <w:t>the absence of such</w:t>
      </w:r>
      <w:r w:rsidR="003E75B9">
        <w:t xml:space="preserve"> </w:t>
      </w:r>
      <w:r w:rsidR="00531C8A">
        <w:t xml:space="preserve">a </w:t>
      </w:r>
      <w:r w:rsidR="003E75B9">
        <w:t>writing would vest initial copyright in the employee and require a separate written instrument to transfer ownership</w:t>
      </w:r>
      <w:r w:rsidR="005765ED">
        <w:t xml:space="preserve">. </w:t>
      </w:r>
      <w:proofErr w:type="gramStart"/>
      <w:r w:rsidR="00531C8A">
        <w:rPr>
          <w:i/>
        </w:rPr>
        <w:t>Dumas</w:t>
      </w:r>
      <w:r w:rsidR="00531C8A">
        <w:t>, 865 F.2d at 1097</w:t>
      </w:r>
      <w:r w:rsidR="003E75B9">
        <w:rPr>
          <w:i/>
        </w:rPr>
        <w:t>.</w:t>
      </w:r>
      <w:proofErr w:type="gramEnd"/>
      <w:r w:rsidR="003E75B9">
        <w:t xml:space="preserve"> While in </w:t>
      </w:r>
      <w:r w:rsidR="00531C8A">
        <w:rPr>
          <w:i/>
        </w:rPr>
        <w:t>Dumas</w:t>
      </w:r>
      <w:r w:rsidR="003E75B9">
        <w:t xml:space="preserve"> the relationship was employer/employee, here the Plaintiff is attempting the same maneuver to obtain the copyright in a commissioned works scenario. The party commissioning the work needs to be established as the initial author</w:t>
      </w:r>
      <w:r w:rsidR="00B139A7">
        <w:t xml:space="preserve"> for these provisions to be consistent</w:t>
      </w:r>
      <w:r w:rsidR="003E75B9">
        <w:t xml:space="preserve">, so it is essential that the </w:t>
      </w:r>
      <w:r w:rsidR="006D49FD">
        <w:t>Work</w:t>
      </w:r>
      <w:r w:rsidR="002362E8">
        <w:t xml:space="preserve"> </w:t>
      </w:r>
      <w:r w:rsidR="006D49FD">
        <w:t>Made</w:t>
      </w:r>
      <w:r w:rsidR="002362E8">
        <w:t xml:space="preserve"> for </w:t>
      </w:r>
      <w:r w:rsidR="006D49FD">
        <w:t>Hire agreement</w:t>
      </w:r>
      <w:r w:rsidR="003E75B9">
        <w:t xml:space="preserve"> be signed before the work begins. </w:t>
      </w:r>
    </w:p>
    <w:p w14:paraId="61CB45CD" w14:textId="77777777" w:rsidR="00122E8A" w:rsidRPr="003E75B9" w:rsidRDefault="00122E8A" w:rsidP="00B1746E">
      <w:pPr>
        <w:pStyle w:val="Default"/>
        <w:spacing w:line="480" w:lineRule="auto"/>
        <w:ind w:firstLine="360"/>
      </w:pPr>
      <w:r>
        <w:tab/>
      </w:r>
      <w:r w:rsidR="003E75B9">
        <w:t>The</w:t>
      </w:r>
      <w:r>
        <w:t xml:space="preserve"> court </w:t>
      </w:r>
      <w:r w:rsidR="003E75B9">
        <w:t xml:space="preserve">must also </w:t>
      </w:r>
      <w:r>
        <w:t xml:space="preserve">avoid interpreting a provision in a way that would render other provisions of the statute superfluous or unnecessary. </w:t>
      </w:r>
      <w:proofErr w:type="gramStart"/>
      <w:r>
        <w:rPr>
          <w:i/>
        </w:rPr>
        <w:t>Gutierrez v. Ada</w:t>
      </w:r>
      <w:r w:rsidR="003E75B9">
        <w:t xml:space="preserve">, 528 U.S. 250 (1990); </w:t>
      </w:r>
      <w:r w:rsidR="001F16E6">
        <w:rPr>
          <w:i/>
        </w:rPr>
        <w:t>Pennsylvania Dept. of Pub.</w:t>
      </w:r>
      <w:proofErr w:type="gramEnd"/>
      <w:r w:rsidR="001F16E6">
        <w:rPr>
          <w:i/>
        </w:rPr>
        <w:t xml:space="preserve"> </w:t>
      </w:r>
      <w:proofErr w:type="gramStart"/>
      <w:r w:rsidR="001F16E6">
        <w:rPr>
          <w:i/>
        </w:rPr>
        <w:t>Welfare v. Davenport</w:t>
      </w:r>
      <w:r w:rsidR="001F16E6">
        <w:t>, 495 U.S. 552, 562 (1990).</w:t>
      </w:r>
      <w:proofErr w:type="gramEnd"/>
      <w:r w:rsidR="001F16E6">
        <w:t xml:space="preserve"> </w:t>
      </w:r>
      <w:r w:rsidR="003E75B9">
        <w:t>Section 204 of the Copyright Act describes</w:t>
      </w:r>
      <w:r w:rsidR="001F16E6">
        <w:t xml:space="preserve"> a </w:t>
      </w:r>
      <w:r w:rsidR="003E75B9">
        <w:t xml:space="preserve">separate </w:t>
      </w:r>
      <w:r w:rsidR="001F16E6">
        <w:t xml:space="preserve">procedure for </w:t>
      </w:r>
      <w:r w:rsidR="001F16E6">
        <w:rPr>
          <w:i/>
        </w:rPr>
        <w:t>transferring</w:t>
      </w:r>
      <w:r w:rsidR="001F16E6">
        <w:t xml:space="preserve"> copyright ownership. </w:t>
      </w:r>
      <w:r w:rsidR="00C47F1F">
        <w:t xml:space="preserve">A transfer requires an “instrument of conveyance, or a note or memorandum of the transfer . . . in writing and signed by the owner of the rights conveyed by such owner’s duly authorized agent.” </w:t>
      </w:r>
      <w:r w:rsidR="00C47F1F">
        <w:rPr>
          <w:i/>
        </w:rPr>
        <w:t>Id.</w:t>
      </w:r>
      <w:r w:rsidR="00C47F1F">
        <w:t xml:space="preserve"> </w:t>
      </w:r>
      <w:r w:rsidR="003E75B9">
        <w:t>A</w:t>
      </w:r>
      <w:r w:rsidR="00C47F1F">
        <w:t xml:space="preserve">llowing ownership of an already-completed work to change hands through a </w:t>
      </w:r>
      <w:r w:rsidR="00DF020E">
        <w:t xml:space="preserve">Work Made for </w:t>
      </w:r>
      <w:r w:rsidR="006D49FD">
        <w:t>Hire agreement</w:t>
      </w:r>
      <w:r w:rsidR="00C47F1F">
        <w:t xml:space="preserve"> would </w:t>
      </w:r>
      <w:r w:rsidR="003E75B9">
        <w:t xml:space="preserve">accomplish about the same thing as </w:t>
      </w:r>
      <w:r w:rsidR="00DF020E">
        <w:t xml:space="preserve">a </w:t>
      </w:r>
      <w:r w:rsidR="003E75B9">
        <w:t xml:space="preserve">transfer, but with more permanent consequences. </w:t>
      </w:r>
      <w:proofErr w:type="gramStart"/>
      <w:r w:rsidR="003E75B9">
        <w:rPr>
          <w:i/>
        </w:rPr>
        <w:t xml:space="preserve">Dumas </w:t>
      </w:r>
      <w:r w:rsidR="003E75B9">
        <w:t>865 F.2d at 1097.</w:t>
      </w:r>
      <w:proofErr w:type="gramEnd"/>
      <w:r w:rsidR="003E75B9">
        <w:t xml:space="preserve"> </w:t>
      </w:r>
      <w:hyperlink r:id="rId9" w:anchor="co_pp_8b3b0000958a4" w:history="1">
        <w:r w:rsidR="003E75B9" w:rsidRPr="003E75B9">
          <w:rPr>
            <w:color w:val="auto"/>
          </w:rPr>
          <w:t>17 U.S.C. § 203(a)</w:t>
        </w:r>
      </w:hyperlink>
      <w:r w:rsidR="00C47F1F">
        <w:t xml:space="preserve"> </w:t>
      </w:r>
      <w:r w:rsidR="003E75B9">
        <w:t xml:space="preserve">makes a copyright transfer subject to termination after 35 years. Congress included this escape clause to allow the author the opportunity to renegotiate the transfer after the market value of the work has been more precisely determined. </w:t>
      </w:r>
      <w:proofErr w:type="gramStart"/>
      <w:r w:rsidR="003E75B9">
        <w:rPr>
          <w:i/>
        </w:rPr>
        <w:t xml:space="preserve">Dumas </w:t>
      </w:r>
      <w:r w:rsidR="003E75B9">
        <w:t>865 F.2d at 1098.</w:t>
      </w:r>
      <w:proofErr w:type="gramEnd"/>
      <w:r w:rsidR="003E75B9">
        <w:t xml:space="preserve"> It would render the statute inconsistent if a transfer could instead be performed under the guise of a </w:t>
      </w:r>
      <w:r w:rsidR="00DF020E">
        <w:t xml:space="preserve">Work Made for </w:t>
      </w:r>
      <w:r w:rsidR="006D49FD">
        <w:t>Hire agreement</w:t>
      </w:r>
      <w:r w:rsidR="003E75B9">
        <w:t xml:space="preserve">, </w:t>
      </w:r>
      <w:r w:rsidR="0025210D">
        <w:t>depriving</w:t>
      </w:r>
      <w:r w:rsidR="003E75B9">
        <w:t xml:space="preserve"> the author </w:t>
      </w:r>
      <w:r w:rsidR="003E75B9">
        <w:lastRenderedPageBreak/>
        <w:t xml:space="preserve">of the opportunity to renegotiate later. </w:t>
      </w:r>
      <w:r w:rsidR="003E75B9">
        <w:rPr>
          <w:i/>
        </w:rPr>
        <w:t xml:space="preserve">Id. </w:t>
      </w:r>
      <w:r w:rsidR="003E75B9">
        <w:t>This statutory inconsistency, combined with the policy benefits of protecting an author’s bargaining power, demand</w:t>
      </w:r>
      <w:r w:rsidR="001D4B35">
        <w:t>s</w:t>
      </w:r>
      <w:r w:rsidR="003E75B9">
        <w:t xml:space="preserve"> that the complaint be dismissed. </w:t>
      </w:r>
    </w:p>
    <w:p w14:paraId="4E41C255" w14:textId="77777777" w:rsidR="00C47F1F" w:rsidRDefault="00C47F1F" w:rsidP="00B1746E">
      <w:pPr>
        <w:pStyle w:val="Default"/>
        <w:spacing w:line="480" w:lineRule="auto"/>
        <w:ind w:firstLine="360"/>
      </w:pPr>
      <w:r>
        <w:tab/>
      </w:r>
      <w:r w:rsidR="001D4B35">
        <w:t>D</w:t>
      </w:r>
      <w:r>
        <w:t xml:space="preserve">ifferent statutory wording </w:t>
      </w:r>
      <w:r w:rsidR="001D4B35">
        <w:t xml:space="preserve">also </w:t>
      </w:r>
      <w:r>
        <w:t xml:space="preserve">suggests different statutory meaning. </w:t>
      </w:r>
      <w:proofErr w:type="gramStart"/>
      <w:r>
        <w:rPr>
          <w:i/>
        </w:rPr>
        <w:t>Lawrence v. Florida</w:t>
      </w:r>
      <w:r>
        <w:t>, 549 U.S. 327, 333 (2007).</w:t>
      </w:r>
      <w:proofErr w:type="gramEnd"/>
      <w:r>
        <w:t xml:space="preserve"> </w:t>
      </w:r>
      <w:r w:rsidR="001D4B35">
        <w:t xml:space="preserve">Section </w:t>
      </w:r>
      <w:r w:rsidR="004B6B89">
        <w:t xml:space="preserve">204 refers specifically to “instruments of conveyance” and a “note or memorandum of the transfer.” </w:t>
      </w:r>
      <w:r w:rsidR="001D4B35">
        <w:t>Because this section is describing copyright transfers, these instruments and documents refer to completed creations</w:t>
      </w:r>
      <w:r w:rsidR="00CC3DD4">
        <w:t xml:space="preserve">. The </w:t>
      </w:r>
      <w:r w:rsidR="00DF020E">
        <w:t>Work Made for Hire</w:t>
      </w:r>
      <w:r w:rsidR="004B6B89">
        <w:t xml:space="preserve"> definition, on the other hand, makes no reference to any of these documents</w:t>
      </w:r>
      <w:r w:rsidR="001D4B35">
        <w:t>, limiting the language to a “written instrument”</w:t>
      </w:r>
      <w:r w:rsidR="004B6B89">
        <w:t xml:space="preserve">. </w:t>
      </w:r>
      <w:proofErr w:type="gramStart"/>
      <w:r w:rsidR="001D4B35">
        <w:t>17 U.S.C. §101.</w:t>
      </w:r>
      <w:proofErr w:type="gramEnd"/>
      <w:r w:rsidR="001D4B35">
        <w:t xml:space="preserve"> By using words like “note” and “memorandum” to describe documents that transfer copyright of a completed work, but leaving those words out of the Work Made for Hire process, Congress intended for there to be a difference, and a post-creation note </w:t>
      </w:r>
      <w:r w:rsidR="0025210D">
        <w:t xml:space="preserve">such as the one signed by Lime </w:t>
      </w:r>
      <w:r w:rsidR="001D4B35">
        <w:t>should not be allowed to establish a Work Made for Hire.</w:t>
      </w:r>
    </w:p>
    <w:p w14:paraId="4BC91031" w14:textId="77777777" w:rsidR="005765ED" w:rsidRDefault="00B95280" w:rsidP="00B95280">
      <w:pPr>
        <w:pStyle w:val="Default"/>
        <w:spacing w:line="480" w:lineRule="auto"/>
        <w:ind w:firstLine="360"/>
      </w:pPr>
      <w:r>
        <w:tab/>
      </w:r>
      <w:r w:rsidR="001D4B35">
        <w:t xml:space="preserve">Section 302 </w:t>
      </w:r>
      <w:r>
        <w:t>establishes the duration of co</w:t>
      </w:r>
      <w:r w:rsidR="001D4B35">
        <w:t>pyright. This section includes Works Made for Hire</w:t>
      </w:r>
      <w:r>
        <w:t xml:space="preserve"> with anonymous works and pseudonymous works, giving them all a term of “95 years from the year of its first publication, or a term of 120 years from the year of its creation. . .” </w:t>
      </w:r>
      <w:proofErr w:type="gramStart"/>
      <w:r>
        <w:rPr>
          <w:i/>
        </w:rPr>
        <w:t>Id.</w:t>
      </w:r>
      <w:r w:rsidR="007D20E8">
        <w:rPr>
          <w:i/>
        </w:rPr>
        <w:t xml:space="preserve"> </w:t>
      </w:r>
      <w:r w:rsidR="007D20E8">
        <w:t>at (c).</w:t>
      </w:r>
      <w:proofErr w:type="gramEnd"/>
      <w:r w:rsidR="007D20E8">
        <w:t xml:space="preserve"> </w:t>
      </w:r>
      <w:r>
        <w:t xml:space="preserve"> </w:t>
      </w:r>
      <w:r w:rsidR="001D4B35">
        <w:t>The Legislature excluded</w:t>
      </w:r>
      <w:r>
        <w:t xml:space="preserve"> </w:t>
      </w:r>
      <w:r w:rsidR="001D4B35">
        <w:t>Works Made for Hire</w:t>
      </w:r>
      <w:r>
        <w:t xml:space="preserve"> in the next sentence</w:t>
      </w:r>
      <w:r w:rsidR="007D20E8">
        <w:t>, which says that, “</w:t>
      </w:r>
      <w:r>
        <w:t xml:space="preserve">If, before the end of such term, the identity of one or more of the authors of an anonymous or </w:t>
      </w:r>
      <w:r>
        <w:rPr>
          <w:rStyle w:val="cosearchterm"/>
        </w:rPr>
        <w:t>pseudonymous</w:t>
      </w:r>
      <w:r w:rsidR="007D20E8">
        <w:t xml:space="preserve"> work is revealed, . . .</w:t>
      </w:r>
      <w:r>
        <w:t xml:space="preserve"> the copyright in the work endures for the term </w:t>
      </w:r>
      <w:r w:rsidR="007D20E8">
        <w:t>. . .</w:t>
      </w:r>
      <w:r>
        <w:t xml:space="preserve"> based on the life of the author or authors whose identity has been revealed.</w:t>
      </w:r>
      <w:r w:rsidR="007D20E8">
        <w:t xml:space="preserve">” </w:t>
      </w:r>
      <w:r w:rsidR="007D20E8">
        <w:rPr>
          <w:i/>
        </w:rPr>
        <w:t>Id.</w:t>
      </w:r>
      <w:r w:rsidR="007D20E8">
        <w:t xml:space="preserve"> </w:t>
      </w:r>
      <w:r w:rsidR="001D4B35">
        <w:t xml:space="preserve">Congress </w:t>
      </w:r>
      <w:r w:rsidR="0025210D">
        <w:t xml:space="preserve">left Works Made for Hire out of this section, indicating that they </w:t>
      </w:r>
      <w:r w:rsidR="001D4B35">
        <w:t xml:space="preserve">considered the </w:t>
      </w:r>
      <w:r w:rsidR="003D6427">
        <w:t xml:space="preserve">identity of the </w:t>
      </w:r>
      <w:r w:rsidR="001D4B35">
        <w:t xml:space="preserve">author </w:t>
      </w:r>
      <w:r w:rsidR="0025210D">
        <w:t>to already be definitive</w:t>
      </w:r>
      <w:r w:rsidR="007D20E8">
        <w:t xml:space="preserve">. </w:t>
      </w:r>
      <w:r w:rsidR="00CC3DD4">
        <w:t>A written agreement w</w:t>
      </w:r>
      <w:r w:rsidR="007D20E8">
        <w:t xml:space="preserve">ould </w:t>
      </w:r>
      <w:r w:rsidR="00CC3DD4">
        <w:t xml:space="preserve">thus need to </w:t>
      </w:r>
      <w:r w:rsidR="007D20E8">
        <w:t xml:space="preserve">be made before the work is created, leaving no doubt as to the identity of the </w:t>
      </w:r>
      <w:r w:rsidR="007D20E8">
        <w:rPr>
          <w:i/>
        </w:rPr>
        <w:t>initial</w:t>
      </w:r>
      <w:r w:rsidR="007D20E8">
        <w:t xml:space="preserve"> author. </w:t>
      </w:r>
      <w:r w:rsidR="001D4B35">
        <w:t xml:space="preserve">The Complaint should be dismissed because the </w:t>
      </w:r>
      <w:r w:rsidR="001D4B35">
        <w:lastRenderedPageBreak/>
        <w:t>Legislature intended that the signed writing be prior to the creation of the work</w:t>
      </w:r>
      <w:r w:rsidR="00CC3DD4">
        <w:t>, and there was not a prior signing by Lime</w:t>
      </w:r>
      <w:r w:rsidR="001D4B35">
        <w:t xml:space="preserve">. </w:t>
      </w:r>
      <w:r w:rsidR="00EE2D72">
        <w:t xml:space="preserve"> </w:t>
      </w:r>
    </w:p>
    <w:p w14:paraId="7B7F156B" w14:textId="77777777" w:rsidR="00C01C83" w:rsidRDefault="00C01C83" w:rsidP="00B95280">
      <w:pPr>
        <w:pStyle w:val="Default"/>
        <w:spacing w:line="480" w:lineRule="auto"/>
        <w:ind w:firstLine="360"/>
      </w:pPr>
    </w:p>
    <w:p w14:paraId="5565A01B" w14:textId="77777777" w:rsidR="007D20E8" w:rsidRDefault="007D20E8" w:rsidP="007D20E8">
      <w:pPr>
        <w:pStyle w:val="Default"/>
        <w:numPr>
          <w:ilvl w:val="0"/>
          <w:numId w:val="1"/>
        </w:numPr>
        <w:spacing w:line="480" w:lineRule="auto"/>
        <w:rPr>
          <w:b/>
        </w:rPr>
      </w:pPr>
      <w:r>
        <w:rPr>
          <w:b/>
        </w:rPr>
        <w:t xml:space="preserve">The Legislative History </w:t>
      </w:r>
      <w:proofErr w:type="gramStart"/>
      <w:r w:rsidR="001D4B35">
        <w:rPr>
          <w:b/>
        </w:rPr>
        <w:t>Shows</w:t>
      </w:r>
      <w:proofErr w:type="gramEnd"/>
      <w:r w:rsidR="001D4B35">
        <w:rPr>
          <w:b/>
        </w:rPr>
        <w:t xml:space="preserve"> that Congress Intended to Promo</w:t>
      </w:r>
      <w:r w:rsidR="003D6427">
        <w:rPr>
          <w:b/>
        </w:rPr>
        <w:t>te Clarity and Protect Authors b</w:t>
      </w:r>
      <w:r w:rsidR="001D4B35">
        <w:rPr>
          <w:b/>
        </w:rPr>
        <w:t xml:space="preserve">y Requiring a Written </w:t>
      </w:r>
      <w:r w:rsidR="006D49FD">
        <w:rPr>
          <w:b/>
        </w:rPr>
        <w:t>Work-Made-for-Hire agreement</w:t>
      </w:r>
      <w:r w:rsidR="001D4B35">
        <w:rPr>
          <w:b/>
        </w:rPr>
        <w:t xml:space="preserve"> Prior to the Creation of a Work.</w:t>
      </w:r>
    </w:p>
    <w:p w14:paraId="36BC1DED" w14:textId="77777777" w:rsidR="00C01C83" w:rsidRDefault="00C01C83" w:rsidP="00C01C83">
      <w:pPr>
        <w:pStyle w:val="Default"/>
        <w:spacing w:line="480" w:lineRule="auto"/>
        <w:ind w:left="720"/>
        <w:rPr>
          <w:b/>
        </w:rPr>
      </w:pPr>
    </w:p>
    <w:p w14:paraId="69D4D913" w14:textId="77777777" w:rsidR="00581C6F" w:rsidRDefault="001D4B35" w:rsidP="001D4B35">
      <w:pPr>
        <w:pStyle w:val="Default"/>
        <w:spacing w:line="480" w:lineRule="auto"/>
        <w:ind w:firstLine="360"/>
      </w:pPr>
      <w:r>
        <w:tab/>
      </w:r>
      <w:r w:rsidR="00EE2D72">
        <w:t xml:space="preserve">Legislative history has long been used to determine Congress’s intent. </w:t>
      </w:r>
      <w:proofErr w:type="gramStart"/>
      <w:r w:rsidR="00EE2D72">
        <w:rPr>
          <w:i/>
        </w:rPr>
        <w:t xml:space="preserve">E.g. Holy Trinity Church v. </w:t>
      </w:r>
      <w:r>
        <w:rPr>
          <w:i/>
        </w:rPr>
        <w:t>U.S.</w:t>
      </w:r>
      <w:r w:rsidR="00EE2D72">
        <w:t xml:space="preserve"> 143 U.S. 457 (1892).</w:t>
      </w:r>
      <w:proofErr w:type="gramEnd"/>
      <w:r w:rsidR="00EE2D72">
        <w:t xml:space="preserve"> </w:t>
      </w:r>
      <w:r>
        <w:t xml:space="preserve"> The Copyright Office was primarily responsible for the drafting of the revised bill, and they have explicitly and unambiguously spoken that the timing of the writing needs to be before the creation of the work. </w:t>
      </w:r>
      <w:r w:rsidRPr="003D4F09">
        <w:rPr>
          <w:rFonts w:eastAsia="Times New Roman" w:cstheme="minorHAnsi"/>
          <w:i/>
        </w:rPr>
        <w:t>Playboy Enterprises, Inc. v. Dumas</w:t>
      </w:r>
      <w:r w:rsidRPr="005153C2">
        <w:rPr>
          <w:rFonts w:eastAsia="Times New Roman" w:cstheme="minorHAnsi"/>
        </w:rPr>
        <w:t>, 53 F.3d 549</w:t>
      </w:r>
      <w:r>
        <w:rPr>
          <w:rFonts w:eastAsia="Times New Roman" w:cstheme="minorHAnsi"/>
        </w:rPr>
        <w:t xml:space="preserve">, 558 (1995). </w:t>
      </w:r>
      <w:r w:rsidR="003D4F09">
        <w:t xml:space="preserve">When explaining the addition of the commissioned works distinction </w:t>
      </w:r>
      <w:r>
        <w:t>in a 1964 version of the bill</w:t>
      </w:r>
      <w:r w:rsidR="003D4F09">
        <w:t xml:space="preserve">, Barbara </w:t>
      </w:r>
      <w:r w:rsidR="00913ED5">
        <w:t>Ringer</w:t>
      </w:r>
      <w:r w:rsidR="003D6427">
        <w:t xml:space="preserve"> (“Ringer”)</w:t>
      </w:r>
      <w:r w:rsidR="00E7186E">
        <w:t>, speaking on behalf</w:t>
      </w:r>
      <w:r w:rsidR="00913ED5">
        <w:t xml:space="preserve"> of the Copyright Office</w:t>
      </w:r>
      <w:r w:rsidR="00E7186E">
        <w:t>,</w:t>
      </w:r>
      <w:r w:rsidR="00913ED5">
        <w:t xml:space="preserve"> testified before Congress</w:t>
      </w:r>
      <w:r w:rsidR="003D4F09">
        <w:t xml:space="preserve"> that a commissioned work “would not be considered a </w:t>
      </w:r>
      <w:r w:rsidR="00E40BF5">
        <w:t>Work Made for Hire</w:t>
      </w:r>
      <w:r w:rsidR="003D4F09">
        <w:t xml:space="preserve"> if the contract were signed later on – after the work was written, for example.” </w:t>
      </w:r>
      <w:hyperlink r:id="rId10" w:history="1">
        <w:proofErr w:type="spellStart"/>
        <w:proofErr w:type="gramStart"/>
        <w:r w:rsidR="003D4F09" w:rsidRPr="00FB4F50">
          <w:rPr>
            <w:rStyle w:val="Hyperlink"/>
            <w:color w:val="auto"/>
            <w:u w:val="none"/>
          </w:rPr>
          <w:t>H.R.Rep</w:t>
        </w:r>
        <w:proofErr w:type="spellEnd"/>
        <w:r w:rsidR="003D4F09" w:rsidRPr="00FB4F50">
          <w:rPr>
            <w:rStyle w:val="Hyperlink"/>
            <w:color w:val="auto"/>
            <w:u w:val="none"/>
          </w:rPr>
          <w:t xml:space="preserve">. </w:t>
        </w:r>
        <w:r w:rsidR="00FB4F50" w:rsidRPr="00FB4F50">
          <w:rPr>
            <w:rStyle w:val="Hyperlink"/>
            <w:color w:val="auto"/>
            <w:u w:val="none"/>
          </w:rPr>
          <w:t>N</w:t>
        </w:r>
        <w:r w:rsidR="003D4F09" w:rsidRPr="00FB4F50">
          <w:rPr>
            <w:rStyle w:val="Hyperlink"/>
            <w:color w:val="auto"/>
            <w:u w:val="none"/>
          </w:rPr>
          <w:t>o. 51–374</w:t>
        </w:r>
      </w:hyperlink>
      <w:r w:rsidR="003D4F09" w:rsidRPr="005153C2">
        <w:t xml:space="preserve">, </w:t>
      </w:r>
      <w:r w:rsidR="00FB4F50">
        <w:t>p</w:t>
      </w:r>
      <w:r w:rsidR="003D4F09" w:rsidRPr="005153C2">
        <w:t>t</w:t>
      </w:r>
      <w:r w:rsidR="00FB4F50">
        <w:t>.</w:t>
      </w:r>
      <w:r w:rsidR="003D4F09" w:rsidRPr="005153C2">
        <w:t xml:space="preserve"> 5, at 145 (1965).</w:t>
      </w:r>
      <w:proofErr w:type="gramEnd"/>
      <w:r w:rsidR="003D4F09">
        <w:t xml:space="preserve"> </w:t>
      </w:r>
      <w:r>
        <w:t>Courts have given significant weight to the views of the Copyright Office when interpreting the Copyright Act, so the Court here should recognize this intent.</w:t>
      </w:r>
      <w:r w:rsidR="003D4F09">
        <w:t xml:space="preserve"> </w:t>
      </w:r>
      <w:proofErr w:type="gramStart"/>
      <w:r w:rsidR="00086B69">
        <w:rPr>
          <w:i/>
        </w:rPr>
        <w:t xml:space="preserve">See </w:t>
      </w:r>
      <w:r w:rsidR="003D4F09">
        <w:rPr>
          <w:i/>
        </w:rPr>
        <w:t>Mills Music</w:t>
      </w:r>
      <w:r>
        <w:rPr>
          <w:i/>
        </w:rPr>
        <w:t xml:space="preserve"> Inc. v. Snyder</w:t>
      </w:r>
      <w:r>
        <w:t>,</w:t>
      </w:r>
      <w:r w:rsidR="003D4F09">
        <w:rPr>
          <w:i/>
        </w:rPr>
        <w:t xml:space="preserve"> </w:t>
      </w:r>
      <w:r w:rsidR="003D4F09">
        <w:t xml:space="preserve">496 U.S. </w:t>
      </w:r>
      <w:r>
        <w:t>153, 159 (1985)</w:t>
      </w:r>
      <w:r w:rsidR="00086B69">
        <w:t xml:space="preserve">; </w:t>
      </w:r>
      <w:proofErr w:type="spellStart"/>
      <w:r>
        <w:rPr>
          <w:i/>
        </w:rPr>
        <w:t>Cmty</w:t>
      </w:r>
      <w:proofErr w:type="spellEnd"/>
      <w:r>
        <w:rPr>
          <w:i/>
        </w:rPr>
        <w:t>.</w:t>
      </w:r>
      <w:proofErr w:type="gramEnd"/>
      <w:r>
        <w:rPr>
          <w:i/>
        </w:rPr>
        <w:t xml:space="preserve"> </w:t>
      </w:r>
      <w:proofErr w:type="gramStart"/>
      <w:r>
        <w:rPr>
          <w:i/>
        </w:rPr>
        <w:t>for</w:t>
      </w:r>
      <w:proofErr w:type="gramEnd"/>
      <w:r>
        <w:rPr>
          <w:i/>
        </w:rPr>
        <w:t xml:space="preserve"> Creative Non-Violence v. Reid</w:t>
      </w:r>
      <w:r>
        <w:t xml:space="preserve">, 490 U.S. 730, 743 (1989). </w:t>
      </w:r>
      <w:r w:rsidR="00913ED5">
        <w:t xml:space="preserve">When the bill was enacted in 1976, the wording of section 101(2) </w:t>
      </w:r>
      <w:r w:rsidR="00086B69">
        <w:t>stayed the same</w:t>
      </w:r>
      <w:r w:rsidR="00581C6F">
        <w:t>, indicating that the same intent existed as in 1964</w:t>
      </w:r>
      <w:r>
        <w:t xml:space="preserve"> when Ringer spoke to the timing of the writing</w:t>
      </w:r>
      <w:r w:rsidR="00913ED5">
        <w:t xml:space="preserve">. </w:t>
      </w:r>
      <w:r w:rsidR="00913ED5">
        <w:rPr>
          <w:i/>
        </w:rPr>
        <w:t>CCNV</w:t>
      </w:r>
      <w:r w:rsidR="00913ED5">
        <w:t xml:space="preserve">, 490 U.S. at 746. </w:t>
      </w:r>
      <w:r>
        <w:t xml:space="preserve">The drafters were clear in their views that the writing </w:t>
      </w:r>
      <w:r w:rsidR="003D6427">
        <w:t xml:space="preserve">requirement </w:t>
      </w:r>
      <w:r>
        <w:t xml:space="preserve">must be </w:t>
      </w:r>
      <w:r w:rsidR="003D6427">
        <w:t xml:space="preserve">met </w:t>
      </w:r>
      <w:r>
        <w:t>before the creation</w:t>
      </w:r>
      <w:r w:rsidR="003D6427">
        <w:t xml:space="preserve"> of the work</w:t>
      </w:r>
      <w:r>
        <w:t>, so it is imperat</w:t>
      </w:r>
      <w:r w:rsidR="00FA5780">
        <w:t>ive that the court dismiss the C</w:t>
      </w:r>
      <w:r>
        <w:t xml:space="preserve">omplaint. </w:t>
      </w:r>
    </w:p>
    <w:p w14:paraId="25988EC9" w14:textId="77777777" w:rsidR="00EB4EE6" w:rsidRDefault="00581C6F" w:rsidP="00581C6F">
      <w:pPr>
        <w:pStyle w:val="Default"/>
        <w:spacing w:line="480" w:lineRule="auto"/>
        <w:ind w:firstLine="360"/>
      </w:pPr>
      <w:r>
        <w:lastRenderedPageBreak/>
        <w:tab/>
      </w:r>
      <w:r w:rsidR="001D4B35">
        <w:t>Additionally,</w:t>
      </w:r>
      <w:r w:rsidR="00EB4EE6">
        <w:t xml:space="preserve"> this interpretation by the enforcing agency </w:t>
      </w:r>
      <w:r w:rsidR="00E7186E">
        <w:t>is authoritative</w:t>
      </w:r>
      <w:r w:rsidR="001D4B35">
        <w:t xml:space="preserve"> and must be given deference</w:t>
      </w:r>
      <w:r w:rsidR="00EB4EE6">
        <w:t xml:space="preserve">. In </w:t>
      </w:r>
      <w:r w:rsidR="00EB4EE6">
        <w:rPr>
          <w:i/>
        </w:rPr>
        <w:t>Chevron, U.S.A., Inc. v. Natural Resources Defense Council, Inc.</w:t>
      </w:r>
      <w:r w:rsidR="00EB4EE6">
        <w:t xml:space="preserve">, the Supreme Court allowed deference to an agency’s construction if Congress’s intent is not clear and the agency’s answer is permissible under the statute. </w:t>
      </w:r>
      <w:proofErr w:type="gramStart"/>
      <w:r w:rsidR="00EB4EE6">
        <w:t>467 U.S. 837 (1984).</w:t>
      </w:r>
      <w:proofErr w:type="gramEnd"/>
      <w:r w:rsidR="00EB4EE6">
        <w:t xml:space="preserve"> </w:t>
      </w:r>
      <w:r w:rsidR="001D4B35">
        <w:t>Here, the Copyright Office itself is the enforcing agency, as designated by 17 U.S.C. §701 (“</w:t>
      </w:r>
      <w:r w:rsidR="001D4B35" w:rsidRPr="00EB4EE6">
        <w:t>All administrative functio</w:t>
      </w:r>
      <w:r w:rsidR="001D4B35">
        <w:t xml:space="preserve">ns and duties under this title . . . </w:t>
      </w:r>
      <w:r w:rsidR="001D4B35" w:rsidRPr="00EB4EE6">
        <w:t>are the responsibility of the Register of Copyrights as director of the Copyright Office of the Library of Congress</w:t>
      </w:r>
      <w:r w:rsidR="001D4B35">
        <w:t xml:space="preserve">”). The Copyright Office has </w:t>
      </w:r>
      <w:r w:rsidR="00E7186E">
        <w:t xml:space="preserve">reasonably </w:t>
      </w:r>
      <w:r w:rsidR="001D4B35">
        <w:t>spoken that the writing needs to precede the work, and</w:t>
      </w:r>
      <w:r w:rsidR="003D6427">
        <w:t xml:space="preserve"> if</w:t>
      </w:r>
      <w:r w:rsidR="001D4B35">
        <w:t xml:space="preserve"> the </w:t>
      </w:r>
      <w:r w:rsidR="003D6427">
        <w:t>C</w:t>
      </w:r>
      <w:r w:rsidR="001D4B35">
        <w:t xml:space="preserve">ourt </w:t>
      </w:r>
      <w:r w:rsidR="003D6427">
        <w:t xml:space="preserve">finds the statute ambiguous, it </w:t>
      </w:r>
      <w:r w:rsidR="001D4B35">
        <w:t xml:space="preserve">should defer to this position and grant a dismissal. </w:t>
      </w:r>
    </w:p>
    <w:p w14:paraId="68AA8989" w14:textId="77777777" w:rsidR="009872A8" w:rsidRDefault="00581C6F" w:rsidP="00581C6F">
      <w:pPr>
        <w:pStyle w:val="Default"/>
        <w:spacing w:line="480" w:lineRule="auto"/>
        <w:ind w:firstLine="360"/>
      </w:pPr>
      <w:r>
        <w:tab/>
      </w:r>
      <w:r w:rsidR="0066235A">
        <w:t xml:space="preserve">Congress’s paramount goal in revising the Copyright Act was to enhance predictability and certainty of copyright ownership. </w:t>
      </w:r>
      <w:r w:rsidR="0066235A">
        <w:rPr>
          <w:i/>
        </w:rPr>
        <w:t>CCNV</w:t>
      </w:r>
      <w:r w:rsidR="0066235A">
        <w:t>, 490 U.S. at 749.</w:t>
      </w:r>
      <w:r w:rsidR="00942E37">
        <w:t xml:space="preserve"> Congress explicitly sought to draw a “statutory line” between commissioned works that are made for hire and those that are not. H.R. Rep. No. 94-1476, at 121 (1976). </w:t>
      </w:r>
      <w:r w:rsidR="00E7186E">
        <w:t xml:space="preserve">If the court allows for the line to be muddied, it will thwart the goal of ensuring predictability through advance planning, and leave the door open for hiring parties to obtain </w:t>
      </w:r>
      <w:r w:rsidR="006D49FD">
        <w:t>Work-Made-for-Hire agreement</w:t>
      </w:r>
      <w:r w:rsidR="00E7186E">
        <w:t xml:space="preserve">s years after the work has been completed. </w:t>
      </w:r>
      <w:r w:rsidR="00E7186E">
        <w:rPr>
          <w:i/>
        </w:rPr>
        <w:t>CCNV</w:t>
      </w:r>
      <w:r w:rsidR="00E7186E">
        <w:t xml:space="preserve">, 490 U.S. at 750. </w:t>
      </w:r>
      <w:r w:rsidR="00942E37" w:rsidRPr="00E7186E">
        <w:t>The</w:t>
      </w:r>
      <w:r w:rsidR="00942E37">
        <w:t xml:space="preserve"> Second Circuit in </w:t>
      </w:r>
      <w:r w:rsidR="00942E37">
        <w:rPr>
          <w:i/>
        </w:rPr>
        <w:t>Playboy</w:t>
      </w:r>
      <w:r w:rsidR="00942E37">
        <w:t xml:space="preserve"> attempted to navigate these murky waters by </w:t>
      </w:r>
      <w:r w:rsidR="00E94228">
        <w:t xml:space="preserve">allowing a written agreement after the fact if the writing confirms a prior agreement. </w:t>
      </w:r>
      <w:proofErr w:type="gramStart"/>
      <w:r w:rsidR="00E94228">
        <w:t>53 F.3d at 559.</w:t>
      </w:r>
      <w:proofErr w:type="gramEnd"/>
      <w:r w:rsidR="00E94228">
        <w:t xml:space="preserve"> But this </w:t>
      </w:r>
      <w:r w:rsidR="009872A8">
        <w:t xml:space="preserve">ruling will only confuse the standard further, removing concrete certainty and forcing future parties and courts to try and delineate what constitutes an implicit prior agreement. </w:t>
      </w:r>
      <w:r w:rsidR="00E7186E">
        <w:t xml:space="preserve">If the court accepts Lime’s oral agreement as sufficient and allows this case to proceed to trial, it will be faced with complex issues of fact regarding the clarity of the agreement and the </w:t>
      </w:r>
      <w:r w:rsidR="00FA5780">
        <w:t xml:space="preserve">actual </w:t>
      </w:r>
      <w:r w:rsidR="00E7186E">
        <w:t xml:space="preserve">intent of the parties. That sort of </w:t>
      </w:r>
      <w:r w:rsidR="00FA5780">
        <w:t xml:space="preserve">unpredictability </w:t>
      </w:r>
      <w:r w:rsidR="00E7186E">
        <w:t xml:space="preserve">is exactly what </w:t>
      </w:r>
      <w:r w:rsidR="009872A8">
        <w:t xml:space="preserve">Congress wanted to </w:t>
      </w:r>
      <w:r w:rsidR="00E7186E">
        <w:t xml:space="preserve">avoid by </w:t>
      </w:r>
      <w:r w:rsidR="009872A8">
        <w:t>creat</w:t>
      </w:r>
      <w:r w:rsidR="00E7186E">
        <w:t>ing</w:t>
      </w:r>
      <w:r w:rsidR="00FA5780">
        <w:t xml:space="preserve"> a bright line. </w:t>
      </w:r>
      <w:r w:rsidR="00FA5780">
        <w:rPr>
          <w:i/>
        </w:rPr>
        <w:t>CCNV</w:t>
      </w:r>
      <w:r w:rsidR="00FA5780">
        <w:t>, 490 U.S. at 750.</w:t>
      </w:r>
      <w:r w:rsidR="009872A8">
        <w:t xml:space="preserve"> </w:t>
      </w:r>
      <w:r w:rsidR="00FA5780">
        <w:t>The C</w:t>
      </w:r>
      <w:r w:rsidR="00E7186E">
        <w:t xml:space="preserve">ourt should </w:t>
      </w:r>
      <w:r w:rsidR="00FA5780">
        <w:lastRenderedPageBreak/>
        <w:t>therefore honor this bright line and dismiss the complaint to avoid the uncertainty that Congress sought to prevent.</w:t>
      </w:r>
    </w:p>
    <w:p w14:paraId="716B48C6" w14:textId="77777777" w:rsidR="00E7186E" w:rsidRDefault="004045C2" w:rsidP="004B0DA9">
      <w:pPr>
        <w:pStyle w:val="Default"/>
        <w:spacing w:line="480" w:lineRule="auto"/>
        <w:ind w:firstLine="360"/>
      </w:pPr>
      <w:r>
        <w:tab/>
        <w:t xml:space="preserve">Congress was </w:t>
      </w:r>
      <w:r w:rsidR="00E7186E">
        <w:t xml:space="preserve">also specifically </w:t>
      </w:r>
      <w:r>
        <w:t>focused on protecting authors</w:t>
      </w:r>
      <w:r w:rsidR="00FA5780">
        <w:t xml:space="preserve"> such as Lime</w:t>
      </w:r>
      <w:r>
        <w:t xml:space="preserve">. It specified that the author is “the fundamental beneficiary of copyright protection under the Constitution”. H.R. Rep. No. 94-1476 at 140. </w:t>
      </w:r>
      <w:r w:rsidR="00D7643E">
        <w:t xml:space="preserve">This is consistent with the Constitutional goal to “promote the Progress of Science and useful Arts, by securing for limited Times to Authors and Inventors the exclusive Right to their respective Writings and Discoveries”. </w:t>
      </w:r>
      <w:proofErr w:type="gramStart"/>
      <w:r w:rsidR="00D7643E">
        <w:t>U.S. Const. art.</w:t>
      </w:r>
      <w:proofErr w:type="gramEnd"/>
      <w:r w:rsidR="00D7643E">
        <w:t xml:space="preserve"> </w:t>
      </w:r>
      <w:proofErr w:type="gramStart"/>
      <w:r w:rsidR="00D7643E">
        <w:t>I, § 8, cl. 8.</w:t>
      </w:r>
      <w:proofErr w:type="gramEnd"/>
      <w:r w:rsidR="00D7643E">
        <w:t xml:space="preserve"> Removing the clarity that an agreement prior to the creation provides would be inconsistent with this goal</w:t>
      </w:r>
      <w:r w:rsidR="00E7186E">
        <w:t xml:space="preserve">, because it would allow authors to irreversibly give up all rights to work they have already completed. </w:t>
      </w:r>
      <w:r w:rsidR="00E7186E" w:rsidRPr="00FA5780">
        <w:rPr>
          <w:color w:val="auto"/>
        </w:rPr>
        <w:t>Supp</w:t>
      </w:r>
      <w:r w:rsidR="00DA7E62">
        <w:rPr>
          <w:color w:val="auto"/>
        </w:rPr>
        <w:t>.</w:t>
      </w:r>
      <w:r w:rsidR="003F22C9">
        <w:rPr>
          <w:color w:val="auto"/>
        </w:rPr>
        <w:t xml:space="preserve"> Register’s Rep.</w:t>
      </w:r>
      <w:r w:rsidR="00E7186E" w:rsidRPr="00FA5780">
        <w:rPr>
          <w:color w:val="auto"/>
        </w:rPr>
        <w:t xml:space="preserve"> on the General Revi</w:t>
      </w:r>
      <w:r w:rsidR="00FA5780" w:rsidRPr="00FA5780">
        <w:rPr>
          <w:color w:val="auto"/>
        </w:rPr>
        <w:t xml:space="preserve">sion of the U.S. Copyright Law, </w:t>
      </w:r>
      <w:r w:rsidR="00E7186E" w:rsidRPr="00FA5780">
        <w:rPr>
          <w:color w:val="auto"/>
        </w:rPr>
        <w:t>at 67</w:t>
      </w:r>
      <w:r w:rsidR="00FA5780" w:rsidRPr="00FA5780">
        <w:rPr>
          <w:color w:val="auto"/>
        </w:rPr>
        <w:t xml:space="preserve"> (1965)</w:t>
      </w:r>
      <w:r w:rsidR="00E7186E" w:rsidRPr="00FA5780">
        <w:rPr>
          <w:color w:val="auto"/>
        </w:rPr>
        <w:t xml:space="preserve">. </w:t>
      </w:r>
      <w:r w:rsidR="00E7186E">
        <w:t xml:space="preserve">In “trying to draw the proper definitional line,” representatives of authors’ organizations were concerned that “an author could easily be induced to sign a form contract stating that his work is ‘made for hire’”. </w:t>
      </w:r>
      <w:r w:rsidR="00E7186E">
        <w:rPr>
          <w:i/>
        </w:rPr>
        <w:t>Id.</w:t>
      </w:r>
      <w:r w:rsidR="00E7186E">
        <w:t xml:space="preserve"> Thus, the current language was drafted “to reconcile these conflicts”. </w:t>
      </w:r>
      <w:r w:rsidR="00E7186E">
        <w:rPr>
          <w:i/>
        </w:rPr>
        <w:t xml:space="preserve">Id. </w:t>
      </w:r>
      <w:r w:rsidR="00E7186E">
        <w:t>Unlike the transfer provisions, which include some protections, a retroactive Work for Hire agreement would enable hiring parties to exploit the unequal bargaining power of authors, and potentially obtain full rights to their work through coercion or unfair pricing. This is the very sort of inducement Congress was attempting to prevent, and is an unacceptable interpretation of the Copyright Act. When Lime began writing the screenplay, she s</w:t>
      </w:r>
      <w:r w:rsidR="003D6427">
        <w:t>hould have known with certainty whether or not OGS would own her work</w:t>
      </w:r>
      <w:r w:rsidR="00E7186E">
        <w:t xml:space="preserve">; </w:t>
      </w:r>
      <w:r w:rsidR="00DA7E62">
        <w:t>because</w:t>
      </w:r>
      <w:r w:rsidR="00E7186E">
        <w:t xml:space="preserve"> it was not in writing, this certainty was not there. It is critical that the Court insist on a written agreement prior to the work in order to meet Congress’s goal of protecting authors.</w:t>
      </w:r>
    </w:p>
    <w:p w14:paraId="3BD3C55F" w14:textId="77777777" w:rsidR="004B0DA9" w:rsidRDefault="00E7186E" w:rsidP="004B0DA9">
      <w:pPr>
        <w:pStyle w:val="Default"/>
        <w:spacing w:line="480" w:lineRule="auto"/>
        <w:ind w:firstLine="360"/>
      </w:pPr>
      <w:r>
        <w:tab/>
      </w:r>
    </w:p>
    <w:p w14:paraId="4647A7A7" w14:textId="77777777" w:rsidR="00C01C83" w:rsidRDefault="00C01C83" w:rsidP="004B0DA9">
      <w:pPr>
        <w:pStyle w:val="Default"/>
        <w:spacing w:line="480" w:lineRule="auto"/>
        <w:ind w:firstLine="360"/>
      </w:pPr>
    </w:p>
    <w:p w14:paraId="45F778DA" w14:textId="77777777" w:rsidR="00C01C83" w:rsidRDefault="00C01C83" w:rsidP="00C01C83">
      <w:pPr>
        <w:pStyle w:val="Default"/>
        <w:numPr>
          <w:ilvl w:val="0"/>
          <w:numId w:val="1"/>
        </w:numPr>
        <w:spacing w:line="480" w:lineRule="auto"/>
        <w:rPr>
          <w:rStyle w:val="cohl"/>
          <w:b/>
        </w:rPr>
      </w:pPr>
      <w:r>
        <w:rPr>
          <w:rStyle w:val="cohl"/>
          <w:b/>
        </w:rPr>
        <w:lastRenderedPageBreak/>
        <w:t>The Writing Must Be Before the Creation of the Work to Make Intellectual Property Rights Clear and Definite.</w:t>
      </w:r>
    </w:p>
    <w:p w14:paraId="41E40C1A" w14:textId="77777777" w:rsidR="00A159B7" w:rsidRPr="00497D8A" w:rsidRDefault="00A159B7" w:rsidP="00A159B7">
      <w:pPr>
        <w:pStyle w:val="Default"/>
        <w:spacing w:line="480" w:lineRule="auto"/>
        <w:ind w:left="720"/>
        <w:rPr>
          <w:rStyle w:val="cohl"/>
          <w:b/>
        </w:rPr>
      </w:pPr>
    </w:p>
    <w:p w14:paraId="64B1112B" w14:textId="77777777" w:rsidR="00C01C83" w:rsidRPr="00E7186E" w:rsidRDefault="00A159B7" w:rsidP="00C01C83">
      <w:pPr>
        <w:pStyle w:val="Default"/>
        <w:spacing w:line="480" w:lineRule="auto"/>
        <w:ind w:firstLine="360"/>
      </w:pPr>
      <w:r>
        <w:rPr>
          <w:rStyle w:val="cohl"/>
        </w:rPr>
        <w:tab/>
      </w:r>
      <w:r w:rsidR="00E7186E">
        <w:rPr>
          <w:rStyle w:val="cohl"/>
        </w:rPr>
        <w:t xml:space="preserve">To promote a policy of clearly and definitively identifying intellectual property rights, the signed-statement must precede the creation of the property. </w:t>
      </w:r>
      <w:r w:rsidR="00C01C83" w:rsidRPr="00497D8A">
        <w:rPr>
          <w:i/>
        </w:rPr>
        <w:t xml:space="preserve">Schiller &amp; Schmidt, Inc. v. </w:t>
      </w:r>
      <w:proofErr w:type="spellStart"/>
      <w:r w:rsidR="00C01C83" w:rsidRPr="00497D8A">
        <w:rPr>
          <w:i/>
        </w:rPr>
        <w:t>Nordicso</w:t>
      </w:r>
      <w:proofErr w:type="spellEnd"/>
      <w:r w:rsidR="00C01C83" w:rsidRPr="00497D8A">
        <w:rPr>
          <w:i/>
        </w:rPr>
        <w:t xml:space="preserve"> Corp.</w:t>
      </w:r>
      <w:r w:rsidR="00E7186E">
        <w:t>, 969 F.2d 410,</w:t>
      </w:r>
      <w:r w:rsidR="00C01C83" w:rsidRPr="00497D8A">
        <w:t xml:space="preserve"> 412</w:t>
      </w:r>
      <w:r w:rsidR="00E7186E">
        <w:t xml:space="preserve"> (7th Cir. 1992)</w:t>
      </w:r>
      <w:r w:rsidR="00C01C83" w:rsidRPr="00497D8A">
        <w:t xml:space="preserve">. </w:t>
      </w:r>
      <w:r w:rsidR="00E7186E">
        <w:t>The Seventh Circuit</w:t>
      </w:r>
      <w:r w:rsidR="00C01C83" w:rsidRPr="00497D8A">
        <w:t xml:space="preserve"> emphasized </w:t>
      </w:r>
      <w:r w:rsidR="00E7186E">
        <w:t xml:space="preserve">in </w:t>
      </w:r>
      <w:r w:rsidR="00E7186E">
        <w:rPr>
          <w:i/>
        </w:rPr>
        <w:t xml:space="preserve">Schiller </w:t>
      </w:r>
      <w:r w:rsidR="00C01C83" w:rsidRPr="00497D8A">
        <w:t>that th</w:t>
      </w:r>
      <w:r w:rsidR="00E7186E">
        <w:t xml:space="preserve">is clarity was needed in order to make the property “readily marketable,” and that the writing requirement was not merely a statute of frauds. </w:t>
      </w:r>
      <w:r w:rsidR="00C01C83" w:rsidRPr="00497D8A">
        <w:rPr>
          <w:i/>
        </w:rPr>
        <w:t>Id.</w:t>
      </w:r>
      <w:r w:rsidR="00C01C83" w:rsidRPr="00497D8A">
        <w:t xml:space="preserve"> In that case, </w:t>
      </w:r>
      <w:r w:rsidR="00C01C83">
        <w:t>involving the alleged infringement of phot</w:t>
      </w:r>
      <w:r>
        <w:t>o</w:t>
      </w:r>
      <w:r w:rsidR="00C01C83">
        <w:t xml:space="preserve">s in an office supply catalogue, </w:t>
      </w:r>
      <w:r w:rsidR="00C01C83" w:rsidRPr="00497D8A">
        <w:t xml:space="preserve">the writing in question was </w:t>
      </w:r>
      <w:r w:rsidR="00C01C83">
        <w:t>signed years after the creation.</w:t>
      </w:r>
      <w:r w:rsidR="00C01C83" w:rsidRPr="00497D8A">
        <w:t xml:space="preserve"> </w:t>
      </w:r>
      <w:r w:rsidR="00E7186E">
        <w:rPr>
          <w:i/>
        </w:rPr>
        <w:t xml:space="preserve">Id. </w:t>
      </w:r>
      <w:r w:rsidR="00C01C83">
        <w:t>Only a</w:t>
      </w:r>
      <w:r w:rsidR="003D6427">
        <w:t xml:space="preserve"> few days</w:t>
      </w:r>
      <w:r w:rsidR="00C01C83" w:rsidRPr="00497D8A">
        <w:t xml:space="preserve"> passed before Lime’s signing, but the principle </w:t>
      </w:r>
      <w:r w:rsidR="00C01C83">
        <w:t>should apply</w:t>
      </w:r>
      <w:r w:rsidR="00C01C83" w:rsidRPr="00497D8A">
        <w:t xml:space="preserve"> without prejudice</w:t>
      </w:r>
      <w:r w:rsidR="00DA7E62">
        <w:t xml:space="preserve"> for the sake of clarity</w:t>
      </w:r>
      <w:r w:rsidR="00C01C83" w:rsidRPr="00497D8A">
        <w:t xml:space="preserve">. </w:t>
      </w:r>
      <w:r w:rsidR="00E7186E">
        <w:t xml:space="preserve">The court held that, </w:t>
      </w:r>
      <w:r w:rsidR="00C01C83" w:rsidRPr="00497D8A">
        <w:t>“The writing must precede the creation of the property in order to serve its purpose of identifying the (</w:t>
      </w:r>
      <w:proofErr w:type="spellStart"/>
      <w:r w:rsidR="00C01C83" w:rsidRPr="00497D8A">
        <w:t>noncreator</w:t>
      </w:r>
      <w:proofErr w:type="spellEnd"/>
      <w:r w:rsidR="00C01C83" w:rsidRPr="00497D8A">
        <w:t xml:space="preserve">) owner unequivocally. It did not precede it here.” </w:t>
      </w:r>
      <w:proofErr w:type="gramStart"/>
      <w:r w:rsidR="00C01C83" w:rsidRPr="00497D8A">
        <w:rPr>
          <w:i/>
        </w:rPr>
        <w:t>Id.</w:t>
      </w:r>
      <w:r w:rsidR="00C01C83" w:rsidRPr="00497D8A">
        <w:t xml:space="preserve"> at 413.</w:t>
      </w:r>
      <w:proofErr w:type="gramEnd"/>
      <w:r w:rsidR="00C01C83" w:rsidRPr="00497D8A">
        <w:t xml:space="preserve"> </w:t>
      </w:r>
      <w:r w:rsidR="00E7186E" w:rsidRPr="001C0DE6">
        <w:t>Like</w:t>
      </w:r>
      <w:r w:rsidR="00E7186E">
        <w:t xml:space="preserve"> the author in </w:t>
      </w:r>
      <w:r w:rsidR="00E7186E">
        <w:rPr>
          <w:i/>
        </w:rPr>
        <w:t>Schiller</w:t>
      </w:r>
      <w:r w:rsidR="00E7186E">
        <w:t xml:space="preserve">, Lime only signed a statement regarding a Work Made for Hire </w:t>
      </w:r>
      <w:r w:rsidR="00E7186E">
        <w:rPr>
          <w:i/>
        </w:rPr>
        <w:t>after</w:t>
      </w:r>
      <w:r w:rsidR="00E7186E">
        <w:t xml:space="preserve"> the work was complete. Therefore, the intellectual property rights are not clear and definite and the Complaint should be dismissed.</w:t>
      </w:r>
    </w:p>
    <w:p w14:paraId="77EC82A6" w14:textId="77777777" w:rsidR="004B0DA9" w:rsidRPr="006175E1" w:rsidRDefault="00C01C83" w:rsidP="004B0DA9">
      <w:pPr>
        <w:pStyle w:val="Default"/>
        <w:spacing w:line="480" w:lineRule="auto"/>
        <w:ind w:firstLine="360"/>
      </w:pPr>
      <w:r>
        <w:tab/>
      </w:r>
      <w:r w:rsidR="008B2937">
        <w:t xml:space="preserve">If the writing is signed prior to the creation of the work, the intent of the parties is clear and easy to prove. </w:t>
      </w:r>
      <w:r w:rsidR="008B2937">
        <w:rPr>
          <w:i/>
        </w:rPr>
        <w:t xml:space="preserve">Id. </w:t>
      </w:r>
      <w:r w:rsidR="008B2937">
        <w:t xml:space="preserve">This is different than the standard for transfers stated in </w:t>
      </w:r>
      <w:hyperlink r:id="rId11" w:history="1">
        <w:r w:rsidR="008B2937" w:rsidRPr="002B6AED">
          <w:rPr>
            <w:rStyle w:val="Emphasis"/>
            <w:color w:val="auto"/>
          </w:rPr>
          <w:t xml:space="preserve">Eden Toys, Inc. v. </w:t>
        </w:r>
        <w:proofErr w:type="spellStart"/>
        <w:r w:rsidR="008B2937" w:rsidRPr="002B6AED">
          <w:rPr>
            <w:rStyle w:val="Emphasis"/>
            <w:color w:val="auto"/>
          </w:rPr>
          <w:t>Florelee</w:t>
        </w:r>
        <w:proofErr w:type="spellEnd"/>
        <w:r w:rsidR="008B2937" w:rsidRPr="002B6AED">
          <w:rPr>
            <w:rStyle w:val="Emphasis"/>
            <w:color w:val="auto"/>
          </w:rPr>
          <w:t xml:space="preserve"> Undergarment Co.,</w:t>
        </w:r>
        <w:r w:rsidR="008B2937" w:rsidRPr="002B6AED">
          <w:rPr>
            <w:rStyle w:val="Hyperlink"/>
            <w:color w:val="auto"/>
            <w:u w:val="none"/>
          </w:rPr>
          <w:t xml:space="preserve"> </w:t>
        </w:r>
      </w:hyperlink>
      <w:r w:rsidR="008B2937">
        <w:rPr>
          <w:rStyle w:val="Hyperlink"/>
          <w:color w:val="auto"/>
          <w:u w:val="none"/>
        </w:rPr>
        <w:t xml:space="preserve">which ruled that </w:t>
      </w:r>
      <w:r w:rsidR="00084D03">
        <w:rPr>
          <w:color w:val="auto"/>
        </w:rPr>
        <w:t xml:space="preserve">the writing requirement </w:t>
      </w:r>
      <w:r w:rsidR="00DB0B13">
        <w:rPr>
          <w:color w:val="auto"/>
        </w:rPr>
        <w:t xml:space="preserve">for a transfer </w:t>
      </w:r>
      <w:r w:rsidR="00084D03">
        <w:rPr>
          <w:color w:val="auto"/>
        </w:rPr>
        <w:t>would be met if a later writing confirmed a prior oral agreement.</w:t>
      </w:r>
      <w:r w:rsidR="008B2937">
        <w:t xml:space="preserve"> </w:t>
      </w:r>
      <w:proofErr w:type="gramStart"/>
      <w:r w:rsidR="008B2937" w:rsidRPr="002B6AED">
        <w:t>697 F.2d 27</w:t>
      </w:r>
      <w:r w:rsidR="008B2937">
        <w:t>, 36</w:t>
      </w:r>
      <w:r w:rsidR="008B2937" w:rsidRPr="002B6AED">
        <w:t xml:space="preserve"> (2d Cir.1982)</w:t>
      </w:r>
      <w:r w:rsidR="008B2937">
        <w:t>.</w:t>
      </w:r>
      <w:proofErr w:type="gramEnd"/>
      <w:r w:rsidR="008B2937">
        <w:t xml:space="preserve"> </w:t>
      </w:r>
      <w:r w:rsidR="00506102">
        <w:t xml:space="preserve">The Second Circuit </w:t>
      </w:r>
      <w:r w:rsidR="00475090">
        <w:t xml:space="preserve">erroneously </w:t>
      </w:r>
      <w:r w:rsidR="00506102">
        <w:t xml:space="preserve">applied the </w:t>
      </w:r>
      <w:r w:rsidR="00506102">
        <w:rPr>
          <w:i/>
        </w:rPr>
        <w:t>Eden</w:t>
      </w:r>
      <w:r w:rsidR="00506102">
        <w:t xml:space="preserve"> transfer standard to Works Made for Hire, insisting that </w:t>
      </w:r>
      <w:r w:rsidR="00084D03">
        <w:t>a bright-line rule</w:t>
      </w:r>
      <w:r w:rsidR="00475090">
        <w:t xml:space="preserve"> </w:t>
      </w:r>
      <w:r>
        <w:t>“could frustrate the intent of the parties, and cloud rather th</w:t>
      </w:r>
      <w:r w:rsidR="00084D03">
        <w:t xml:space="preserve">an serve the goal of certainty.” </w:t>
      </w:r>
      <w:proofErr w:type="gramStart"/>
      <w:r>
        <w:rPr>
          <w:i/>
        </w:rPr>
        <w:t>Playboy</w:t>
      </w:r>
      <w:r>
        <w:t>, 53 F. 3d at 559.</w:t>
      </w:r>
      <w:proofErr w:type="gramEnd"/>
      <w:r>
        <w:t xml:space="preserve"> This ignores th</w:t>
      </w:r>
      <w:r w:rsidR="00475090">
        <w:t>e</w:t>
      </w:r>
      <w:r>
        <w:t xml:space="preserve"> drastic differences in severity between a transfer and a </w:t>
      </w:r>
      <w:r w:rsidR="00EE3F3C">
        <w:t xml:space="preserve">Work </w:t>
      </w:r>
      <w:r w:rsidR="006D49FD">
        <w:t>Made</w:t>
      </w:r>
      <w:r w:rsidR="00EE3F3C">
        <w:t xml:space="preserve"> </w:t>
      </w:r>
      <w:r w:rsidR="006D49FD">
        <w:t>for</w:t>
      </w:r>
      <w:r w:rsidR="00EE3F3C">
        <w:t xml:space="preserve"> </w:t>
      </w:r>
      <w:r w:rsidR="006D49FD">
        <w:t>Hire agreement</w:t>
      </w:r>
      <w:r w:rsidR="00B657BA">
        <w:t xml:space="preserve"> as previously discussed, and the definitive clarity </w:t>
      </w:r>
      <w:r w:rsidR="00B657BA">
        <w:lastRenderedPageBreak/>
        <w:t>that an unwavering rule would provide</w:t>
      </w:r>
      <w:r>
        <w:t xml:space="preserve">. </w:t>
      </w:r>
      <w:r>
        <w:rPr>
          <w:color w:val="auto"/>
        </w:rPr>
        <w:t xml:space="preserve">Thus, to support the policy of clarity and certainty, the writing </w:t>
      </w:r>
      <w:r w:rsidR="00CA4CCC">
        <w:rPr>
          <w:color w:val="auto"/>
        </w:rPr>
        <w:t>must</w:t>
      </w:r>
      <w:r>
        <w:rPr>
          <w:color w:val="auto"/>
        </w:rPr>
        <w:t xml:space="preserve"> be made before the work is created</w:t>
      </w:r>
      <w:r w:rsidR="00CA4CCC">
        <w:rPr>
          <w:color w:val="auto"/>
        </w:rPr>
        <w:t>, and the Complaint should be dismissed</w:t>
      </w:r>
      <w:r>
        <w:rPr>
          <w:color w:val="auto"/>
        </w:rPr>
        <w:t>.</w:t>
      </w:r>
    </w:p>
    <w:p w14:paraId="475D06F3" w14:textId="77777777" w:rsidR="00C01C83" w:rsidRDefault="00C01C83" w:rsidP="004B0DA9">
      <w:pPr>
        <w:pStyle w:val="Default"/>
        <w:spacing w:line="480" w:lineRule="auto"/>
        <w:ind w:firstLine="360"/>
      </w:pPr>
    </w:p>
    <w:p w14:paraId="56E080CD" w14:textId="77777777" w:rsidR="004B0DA9" w:rsidRDefault="00CA4CCC" w:rsidP="00C01C83">
      <w:pPr>
        <w:pStyle w:val="Default"/>
        <w:numPr>
          <w:ilvl w:val="0"/>
          <w:numId w:val="1"/>
        </w:numPr>
        <w:spacing w:line="480" w:lineRule="auto"/>
        <w:rPr>
          <w:b/>
        </w:rPr>
      </w:pPr>
      <w:r>
        <w:rPr>
          <w:b/>
        </w:rPr>
        <w:t>The Complaint Should be Dismissed Because the Rule of Lenity Demands a Narrow Reading in Favor of the Defendant</w:t>
      </w:r>
    </w:p>
    <w:p w14:paraId="7DBA2138" w14:textId="77777777" w:rsidR="00C01C83" w:rsidRDefault="00C01C83" w:rsidP="00C01C83">
      <w:pPr>
        <w:pStyle w:val="Default"/>
        <w:spacing w:line="480" w:lineRule="auto"/>
        <w:ind w:left="720"/>
      </w:pPr>
    </w:p>
    <w:p w14:paraId="68995EFF" w14:textId="77777777" w:rsidR="006D6733" w:rsidRDefault="00CA4CCC" w:rsidP="004B0DA9">
      <w:pPr>
        <w:pStyle w:val="Default"/>
        <w:spacing w:line="480" w:lineRule="auto"/>
        <w:ind w:firstLine="360"/>
      </w:pPr>
      <w:r>
        <w:tab/>
      </w:r>
      <w:r w:rsidR="00E65188">
        <w:t xml:space="preserve">The Copyright Act requires that the signed writing come before the completion of the work, but even if the statute is ambiguous, it has criminal elements and the rule of lenity requires that the court rule in favor of the Defendants. </w:t>
      </w:r>
      <w:proofErr w:type="gramStart"/>
      <w:r w:rsidR="004B0DA9">
        <w:rPr>
          <w:i/>
        </w:rPr>
        <w:t>Simpson v. U.S.</w:t>
      </w:r>
      <w:r w:rsidR="004B0DA9">
        <w:t>, 435 U.S. 6, 14 (1978).</w:t>
      </w:r>
      <w:proofErr w:type="gramEnd"/>
      <w:r w:rsidR="004B0DA9">
        <w:t xml:space="preserve"> </w:t>
      </w:r>
      <w:r w:rsidR="004C2A0E">
        <w:t xml:space="preserve">This serves to ensure that “there is fair warning of the boundaries of criminal conduct and that legislatures, not courts, define criminal liability.” </w:t>
      </w:r>
      <w:proofErr w:type="gramStart"/>
      <w:r w:rsidR="004C2A0E">
        <w:rPr>
          <w:i/>
        </w:rPr>
        <w:t>Crandon v. U.S.</w:t>
      </w:r>
      <w:r>
        <w:t>, 494 U.S. 152, 158 (1990).</w:t>
      </w:r>
      <w:proofErr w:type="gramEnd"/>
      <w:r>
        <w:t xml:space="preserve"> </w:t>
      </w:r>
      <w:r w:rsidR="002A7193">
        <w:t xml:space="preserve">This </w:t>
      </w:r>
      <w:r w:rsidR="00E65188">
        <w:t>applies</w:t>
      </w:r>
      <w:r w:rsidR="002A7193">
        <w:t xml:space="preserve"> </w:t>
      </w:r>
      <w:r>
        <w:t xml:space="preserve">to this civil case </w:t>
      </w:r>
      <w:r w:rsidR="002A7193">
        <w:t xml:space="preserve">because the Copyright Act includes penalties for criminal violations. </w:t>
      </w:r>
      <w:proofErr w:type="gramStart"/>
      <w:r w:rsidR="002A7193">
        <w:t>17 U.S.C. §506.</w:t>
      </w:r>
      <w:proofErr w:type="gramEnd"/>
      <w:r w:rsidR="002A7193">
        <w:t xml:space="preserve"> Section 506 provides that “Any person who willfully infringes a copyright shall be punished. . .” </w:t>
      </w:r>
      <w:r w:rsidR="002A7193">
        <w:rPr>
          <w:i/>
        </w:rPr>
        <w:t>Id.</w:t>
      </w:r>
      <w:r w:rsidR="002A7193">
        <w:t xml:space="preserve"> The Supreme Court has </w:t>
      </w:r>
      <w:r>
        <w:t>applied the rule of lenity when</w:t>
      </w:r>
      <w:r w:rsidR="002A7193">
        <w:t xml:space="preserve"> interpreting hybrid statutes with both criminal and civil elements, “because we must interpret the statute consistently, whether we encounter its application in a criminal or noncriminal context.” </w:t>
      </w:r>
      <w:proofErr w:type="gramStart"/>
      <w:r w:rsidR="002A7193">
        <w:rPr>
          <w:i/>
        </w:rPr>
        <w:t>Clark v. Martinez</w:t>
      </w:r>
      <w:r w:rsidR="002A7193">
        <w:t>, 543 U.S. 371, 380 (2005).</w:t>
      </w:r>
      <w:proofErr w:type="gramEnd"/>
      <w:r w:rsidR="002A7193">
        <w:t xml:space="preserve"> </w:t>
      </w:r>
      <w:r w:rsidR="006D6733">
        <w:t xml:space="preserve">This is consistent with the Court’s ruling in </w:t>
      </w:r>
      <w:r w:rsidR="006D6733">
        <w:rPr>
          <w:i/>
        </w:rPr>
        <w:t>Crandon</w:t>
      </w:r>
      <w:r w:rsidR="004B7786">
        <w:t>,</w:t>
      </w:r>
      <w:r w:rsidR="006D6733">
        <w:rPr>
          <w:i/>
        </w:rPr>
        <w:t xml:space="preserve"> </w:t>
      </w:r>
      <w:r w:rsidR="006D6733">
        <w:t xml:space="preserve">which used the rule of lenity to narrowly interpret a criminal statute in protection of a civil defendant. </w:t>
      </w:r>
      <w:proofErr w:type="gramStart"/>
      <w:r w:rsidR="006D6733">
        <w:t xml:space="preserve">494 U.S. </w:t>
      </w:r>
      <w:r w:rsidR="004B7786">
        <w:t>at 168</w:t>
      </w:r>
      <w:r w:rsidR="006D6733">
        <w:t>.</w:t>
      </w:r>
      <w:proofErr w:type="gramEnd"/>
      <w:r w:rsidR="006D6733">
        <w:t xml:space="preserve"> </w:t>
      </w:r>
    </w:p>
    <w:p w14:paraId="5EDE4E00" w14:textId="77777777" w:rsidR="00497D8A" w:rsidRDefault="006D6733" w:rsidP="00497D8A">
      <w:pPr>
        <w:pStyle w:val="Default"/>
        <w:spacing w:line="480" w:lineRule="auto"/>
        <w:ind w:firstLine="360"/>
        <w:rPr>
          <w:rStyle w:val="cohl"/>
        </w:rPr>
      </w:pPr>
      <w:r>
        <w:tab/>
      </w:r>
      <w:r w:rsidR="00DA051E">
        <w:t xml:space="preserve">The </w:t>
      </w:r>
      <w:r w:rsidR="00DB55D0">
        <w:t xml:space="preserve">potential </w:t>
      </w:r>
      <w:r w:rsidR="00DA051E">
        <w:t xml:space="preserve">ambiguity </w:t>
      </w:r>
      <w:r w:rsidR="00DB55D0">
        <w:t xml:space="preserve">here </w:t>
      </w:r>
      <w:r w:rsidR="00DA051E">
        <w:t xml:space="preserve">is about when a </w:t>
      </w:r>
      <w:r w:rsidR="00E40BF5">
        <w:t>Work Made for Hire</w:t>
      </w:r>
      <w:r w:rsidR="00DA051E">
        <w:t xml:space="preserve"> writing needs to be signed</w:t>
      </w:r>
      <w:r w:rsidR="005D6D5A">
        <w:t>, so the requirement of willfulness for criminal sanctions is irrelevant</w:t>
      </w:r>
      <w:r w:rsidR="00DA051E">
        <w:t xml:space="preserve">. </w:t>
      </w:r>
      <w:r w:rsidR="005D6D5A" w:rsidRPr="005D6D5A">
        <w:rPr>
          <w:i/>
        </w:rPr>
        <w:t>Clark</w:t>
      </w:r>
      <w:r w:rsidR="005D6D5A">
        <w:t>, 543 U.S. at 382.</w:t>
      </w:r>
      <w:r w:rsidR="005D6D5A">
        <w:rPr>
          <w:i/>
        </w:rPr>
        <w:t xml:space="preserve"> </w:t>
      </w:r>
      <w:r w:rsidR="00DA051E" w:rsidRPr="005D6D5A">
        <w:t>It</w:t>
      </w:r>
      <w:r w:rsidR="00DA051E">
        <w:t xml:space="preserve"> would be incon</w:t>
      </w:r>
      <w:r w:rsidR="0059430A">
        <w:t xml:space="preserve">sistent to define the timing of the writing requirement </w:t>
      </w:r>
      <w:r w:rsidR="00DA051E">
        <w:t xml:space="preserve">differently based on whether there is a </w:t>
      </w:r>
      <w:proofErr w:type="spellStart"/>
      <w:r w:rsidR="00DA051E">
        <w:rPr>
          <w:i/>
        </w:rPr>
        <w:t>mens</w:t>
      </w:r>
      <w:proofErr w:type="spellEnd"/>
      <w:r w:rsidR="00DA051E">
        <w:rPr>
          <w:i/>
        </w:rPr>
        <w:t xml:space="preserve"> </w:t>
      </w:r>
      <w:proofErr w:type="spellStart"/>
      <w:r w:rsidR="00DA051E">
        <w:rPr>
          <w:i/>
        </w:rPr>
        <w:t>rea</w:t>
      </w:r>
      <w:proofErr w:type="spellEnd"/>
      <w:r w:rsidR="00DA051E">
        <w:rPr>
          <w:i/>
        </w:rPr>
        <w:t xml:space="preserve"> </w:t>
      </w:r>
      <w:r w:rsidR="00DA051E">
        <w:t xml:space="preserve">element involved. </w:t>
      </w:r>
      <w:r w:rsidR="005D6D5A">
        <w:rPr>
          <w:i/>
        </w:rPr>
        <w:t xml:space="preserve">Id. </w:t>
      </w:r>
      <w:r w:rsidR="00DA051E">
        <w:t xml:space="preserve">As the Court stated in </w:t>
      </w:r>
      <w:r w:rsidR="00DA051E">
        <w:rPr>
          <w:i/>
        </w:rPr>
        <w:t>Clark</w:t>
      </w:r>
      <w:r w:rsidR="00DA051E">
        <w:t>, this “</w:t>
      </w:r>
      <w:r w:rsidR="00DA051E">
        <w:rPr>
          <w:rStyle w:val="cohl"/>
        </w:rPr>
        <w:t xml:space="preserve">would </w:t>
      </w:r>
      <w:r w:rsidR="00DA051E">
        <w:rPr>
          <w:rStyle w:val="cohl"/>
        </w:rPr>
        <w:lastRenderedPageBreak/>
        <w:t xml:space="preserve">render every statute a chameleon, its meaning subject to change depending on the presence or absence of constitutional concerns in each individual case.” </w:t>
      </w:r>
      <w:r w:rsidR="005D6D5A">
        <w:rPr>
          <w:rStyle w:val="cohl"/>
          <w:i/>
        </w:rPr>
        <w:t>Id</w:t>
      </w:r>
      <w:r w:rsidR="00DA051E">
        <w:rPr>
          <w:rStyle w:val="cohl"/>
        </w:rPr>
        <w:t>. If lenity applies to a criminal case, it should also apply to a civil case arising under the same statute</w:t>
      </w:r>
      <w:r w:rsidR="005D6D5A">
        <w:rPr>
          <w:rStyle w:val="cohl"/>
        </w:rPr>
        <w:t>, because the standard for a violation needs to be the same, whether done willfully or not</w:t>
      </w:r>
      <w:r w:rsidR="00DA051E">
        <w:rPr>
          <w:rStyle w:val="cohl"/>
        </w:rPr>
        <w:t xml:space="preserve">. </w:t>
      </w:r>
      <w:r w:rsidR="005D6D5A">
        <w:rPr>
          <w:rStyle w:val="cohl"/>
          <w:i/>
        </w:rPr>
        <w:t>Id.</w:t>
      </w:r>
      <w:r w:rsidR="005D6D5A">
        <w:rPr>
          <w:rStyle w:val="cohl"/>
        </w:rPr>
        <w:t xml:space="preserve"> </w:t>
      </w:r>
      <w:r w:rsidR="00DA051E">
        <w:rPr>
          <w:rStyle w:val="cohl"/>
        </w:rPr>
        <w:t>Therefore, the court should apply the rule of lenity and interpret the statute narrowly, in favor of the Defendants</w:t>
      </w:r>
      <w:r w:rsidR="00DB55D0">
        <w:rPr>
          <w:rStyle w:val="cohl"/>
        </w:rPr>
        <w:t>, to avoid establishing a</w:t>
      </w:r>
      <w:r w:rsidR="0059430A">
        <w:rPr>
          <w:rStyle w:val="cohl"/>
        </w:rPr>
        <w:t>n overly</w:t>
      </w:r>
      <w:r w:rsidR="00DB55D0">
        <w:rPr>
          <w:rStyle w:val="cohl"/>
        </w:rPr>
        <w:t xml:space="preserve"> </w:t>
      </w:r>
      <w:r w:rsidR="0059430A">
        <w:rPr>
          <w:rStyle w:val="cohl"/>
        </w:rPr>
        <w:t>broad</w:t>
      </w:r>
      <w:r w:rsidR="00DB55D0">
        <w:rPr>
          <w:rStyle w:val="cohl"/>
        </w:rPr>
        <w:t xml:space="preserve"> precedent that would impact criminal defendants</w:t>
      </w:r>
      <w:r w:rsidR="00DA051E">
        <w:rPr>
          <w:rStyle w:val="cohl"/>
        </w:rPr>
        <w:t xml:space="preserve">. </w:t>
      </w:r>
    </w:p>
    <w:p w14:paraId="11634F63" w14:textId="77777777" w:rsidR="00497D8A" w:rsidRDefault="00497D8A" w:rsidP="00497D8A">
      <w:pPr>
        <w:pStyle w:val="Default"/>
        <w:spacing w:line="480" w:lineRule="auto"/>
        <w:ind w:firstLine="360"/>
        <w:rPr>
          <w:rStyle w:val="cohl"/>
        </w:rPr>
      </w:pPr>
    </w:p>
    <w:p w14:paraId="29E94655" w14:textId="77777777" w:rsidR="00AE6576" w:rsidRDefault="00AE6576" w:rsidP="00AE6576">
      <w:pPr>
        <w:pStyle w:val="Default"/>
        <w:spacing w:line="480" w:lineRule="auto"/>
        <w:ind w:firstLine="360"/>
        <w:jc w:val="center"/>
        <w:rPr>
          <w:rStyle w:val="cohl"/>
          <w:b/>
        </w:rPr>
      </w:pPr>
      <w:r>
        <w:rPr>
          <w:rStyle w:val="cohl"/>
          <w:b/>
        </w:rPr>
        <w:t>CONCLUSION</w:t>
      </w:r>
    </w:p>
    <w:p w14:paraId="753BFBA6" w14:textId="77777777" w:rsidR="00A159B7" w:rsidRDefault="00A159B7" w:rsidP="00AE6576">
      <w:pPr>
        <w:pStyle w:val="Default"/>
        <w:spacing w:line="480" w:lineRule="auto"/>
        <w:ind w:firstLine="360"/>
        <w:jc w:val="center"/>
        <w:rPr>
          <w:rStyle w:val="cohl"/>
          <w:b/>
        </w:rPr>
      </w:pPr>
    </w:p>
    <w:p w14:paraId="1932082B" w14:textId="77777777" w:rsidR="003136F8" w:rsidRDefault="00AE6576" w:rsidP="00D03D62">
      <w:pPr>
        <w:pStyle w:val="Default"/>
        <w:spacing w:line="480" w:lineRule="auto"/>
        <w:ind w:firstLine="360"/>
        <w:rPr>
          <w:rStyle w:val="cohl"/>
        </w:rPr>
      </w:pPr>
      <w:r>
        <w:rPr>
          <w:rStyle w:val="cohl"/>
        </w:rPr>
        <w:tab/>
        <w:t xml:space="preserve">The </w:t>
      </w:r>
      <w:r w:rsidR="00B66AE6">
        <w:rPr>
          <w:rStyle w:val="cohl"/>
        </w:rPr>
        <w:t>plain language of the Work Made for Hire definition in 17 U.S.C. § 101, along with the statutory context, requires that a signed writing be completed before the creation of the work</w:t>
      </w:r>
      <w:r>
        <w:rPr>
          <w:rStyle w:val="cohl"/>
        </w:rPr>
        <w:t xml:space="preserve">. </w:t>
      </w:r>
      <w:r w:rsidR="00B66AE6">
        <w:rPr>
          <w:rStyle w:val="cohl"/>
        </w:rPr>
        <w:t xml:space="preserve">Because the agreement here was not signed until after the work was created, the Complaint should be dismissed. </w:t>
      </w:r>
      <w:r>
        <w:rPr>
          <w:rStyle w:val="cohl"/>
        </w:rPr>
        <w:t xml:space="preserve">This </w:t>
      </w:r>
      <w:r w:rsidR="00B66AE6">
        <w:rPr>
          <w:rStyle w:val="cohl"/>
        </w:rPr>
        <w:t>is supported by</w:t>
      </w:r>
      <w:r>
        <w:rPr>
          <w:rStyle w:val="cohl"/>
        </w:rPr>
        <w:t xml:space="preserve"> Congress’s intent, as shown through the legislative history, and with the policy of bringing certainty to copyright agreements. </w:t>
      </w:r>
      <w:r w:rsidR="00B66AE6">
        <w:rPr>
          <w:rStyle w:val="cohl"/>
        </w:rPr>
        <w:t xml:space="preserve">As there was no written agreement before the work was created, there was no certainty to the intellectual property and the legislative history demands the Complaint be dismissed. </w:t>
      </w:r>
      <w:r>
        <w:rPr>
          <w:rStyle w:val="cohl"/>
        </w:rPr>
        <w:t xml:space="preserve">Even if the </w:t>
      </w:r>
      <w:r w:rsidR="0059430A">
        <w:rPr>
          <w:rStyle w:val="cohl"/>
        </w:rPr>
        <w:t>C</w:t>
      </w:r>
      <w:r>
        <w:rPr>
          <w:rStyle w:val="cohl"/>
        </w:rPr>
        <w:t>ourt finds the statute to be ambiguous, the rule of lenity applies and the statute should be construed in favor of the Defendants</w:t>
      </w:r>
      <w:r w:rsidR="00B66AE6">
        <w:rPr>
          <w:rStyle w:val="cohl"/>
        </w:rPr>
        <w:t>, requiring a dismissal of the Complaint</w:t>
      </w:r>
      <w:r>
        <w:rPr>
          <w:rStyle w:val="cohl"/>
        </w:rPr>
        <w:t xml:space="preserve">.  Lime did not sign an agreement until after the work was completed and submitted; therefore, no proper </w:t>
      </w:r>
      <w:r w:rsidR="00EE3F3C">
        <w:rPr>
          <w:rStyle w:val="cohl"/>
        </w:rPr>
        <w:t xml:space="preserve">Work Made for </w:t>
      </w:r>
      <w:r w:rsidR="006D49FD">
        <w:rPr>
          <w:rStyle w:val="cohl"/>
        </w:rPr>
        <w:t>Hire agreement</w:t>
      </w:r>
      <w:r>
        <w:rPr>
          <w:rStyle w:val="cohl"/>
        </w:rPr>
        <w:t xml:space="preserve"> existed, </w:t>
      </w:r>
      <w:r w:rsidR="0059430A">
        <w:rPr>
          <w:rStyle w:val="cohl"/>
        </w:rPr>
        <w:t>and thus could not be violated. Th</w:t>
      </w:r>
      <w:r>
        <w:rPr>
          <w:rStyle w:val="cohl"/>
        </w:rPr>
        <w:t>e court should grant the Defendants’ motion to dismiss for failure to state a claim o</w:t>
      </w:r>
      <w:r w:rsidR="003136F8">
        <w:rPr>
          <w:rStyle w:val="cohl"/>
        </w:rPr>
        <w:t>n which relief can be granted.</w:t>
      </w:r>
    </w:p>
    <w:p w14:paraId="2F700CA6" w14:textId="77777777" w:rsidR="003136F8" w:rsidRDefault="003136F8" w:rsidP="00D03D62">
      <w:pPr>
        <w:pStyle w:val="Default"/>
        <w:spacing w:line="480" w:lineRule="auto"/>
        <w:ind w:firstLine="360"/>
        <w:rPr>
          <w:rStyle w:val="cohl"/>
        </w:rPr>
      </w:pPr>
    </w:p>
    <w:p w14:paraId="78A20A87" w14:textId="77777777" w:rsidR="0059430A" w:rsidRDefault="0059430A" w:rsidP="0059430A">
      <w:pPr>
        <w:pStyle w:val="Default"/>
        <w:tabs>
          <w:tab w:val="left" w:pos="6105"/>
        </w:tabs>
        <w:spacing w:line="480" w:lineRule="auto"/>
        <w:rPr>
          <w:rStyle w:val="cohl"/>
        </w:rPr>
      </w:pPr>
      <w:r>
        <w:rPr>
          <w:rStyle w:val="cohl"/>
        </w:rPr>
        <w:tab/>
      </w:r>
    </w:p>
    <w:p w14:paraId="7B7ACF28" w14:textId="77777777" w:rsidR="003136F8" w:rsidRDefault="003136F8" w:rsidP="003136F8">
      <w:pPr>
        <w:pStyle w:val="Default"/>
        <w:spacing w:line="480" w:lineRule="auto"/>
        <w:rPr>
          <w:rStyle w:val="cohl"/>
        </w:rPr>
      </w:pPr>
      <w:r>
        <w:rPr>
          <w:rStyle w:val="cohl"/>
        </w:rPr>
        <w:lastRenderedPageBreak/>
        <w:t xml:space="preserve">Dated this 20th day of </w:t>
      </w:r>
      <w:proofErr w:type="gramStart"/>
      <w:r>
        <w:rPr>
          <w:rStyle w:val="cohl"/>
        </w:rPr>
        <w:t>March,</w:t>
      </w:r>
      <w:proofErr w:type="gramEnd"/>
      <w:r>
        <w:rPr>
          <w:rStyle w:val="cohl"/>
        </w:rPr>
        <w:t xml:space="preserve"> 2011.</w:t>
      </w:r>
    </w:p>
    <w:p w14:paraId="316A23F3" w14:textId="77777777" w:rsidR="003136F8" w:rsidRDefault="003136F8" w:rsidP="003136F8">
      <w:pPr>
        <w:pStyle w:val="Default"/>
        <w:spacing w:line="480" w:lineRule="auto"/>
        <w:rPr>
          <w:rStyle w:val="cohl"/>
        </w:rPr>
      </w:pPr>
    </w:p>
    <w:p w14:paraId="4FF1E2D7" w14:textId="77777777" w:rsidR="003136F8" w:rsidRDefault="003136F8" w:rsidP="0002560E">
      <w:pPr>
        <w:pStyle w:val="Default"/>
        <w:rPr>
          <w:rStyle w:val="cohl"/>
        </w:rPr>
      </w:pPr>
      <w:r>
        <w:rPr>
          <w:rStyle w:val="cohl"/>
        </w:rPr>
        <w:t>Respectfully submitted, _____________________________</w:t>
      </w:r>
    </w:p>
    <w:p w14:paraId="0D98297A" w14:textId="77777777" w:rsidR="0002560E" w:rsidRPr="0002560E" w:rsidRDefault="003136F8" w:rsidP="00B65A7C">
      <w:pPr>
        <w:pStyle w:val="Default"/>
        <w:contextualSpacing/>
      </w:pPr>
      <w:r>
        <w:rPr>
          <w:rStyle w:val="cohl"/>
        </w:rPr>
        <w:tab/>
      </w:r>
      <w:r>
        <w:rPr>
          <w:rStyle w:val="cohl"/>
        </w:rPr>
        <w:tab/>
      </w:r>
      <w:r>
        <w:rPr>
          <w:rStyle w:val="cohl"/>
        </w:rPr>
        <w:tab/>
      </w:r>
      <w:r>
        <w:rPr>
          <w:rStyle w:val="cohl"/>
        </w:rPr>
        <w:tab/>
      </w:r>
      <w:r>
        <w:rPr>
          <w:rStyle w:val="cohl"/>
        </w:rPr>
        <w:tab/>
      </w:r>
      <w:r>
        <w:rPr>
          <w:rStyle w:val="cohl"/>
        </w:rPr>
        <w:tab/>
      </w:r>
      <w:r>
        <w:rPr>
          <w:rStyle w:val="cohl"/>
        </w:rPr>
        <w:tab/>
      </w:r>
      <w:r>
        <w:rPr>
          <w:rStyle w:val="cohl"/>
        </w:rPr>
        <w:tab/>
      </w:r>
      <w:r w:rsidR="0005734C">
        <w:rPr>
          <w:rStyle w:val="cohl"/>
        </w:rPr>
        <w:t xml:space="preserve">______________ </w:t>
      </w:r>
      <w:r w:rsidRPr="0002560E">
        <w:rPr>
          <w:rStyle w:val="cohl"/>
        </w:rPr>
        <w:t>(#000000)</w:t>
      </w:r>
      <w:r w:rsidR="0002560E">
        <w:rPr>
          <w:rStyle w:val="cohl"/>
        </w:rPr>
        <w:tab/>
      </w:r>
      <w:r w:rsidR="0002560E">
        <w:rPr>
          <w:rStyle w:val="cohl"/>
        </w:rPr>
        <w:tab/>
      </w:r>
      <w:r w:rsidR="0002560E">
        <w:rPr>
          <w:rStyle w:val="cohl"/>
        </w:rPr>
        <w:tab/>
      </w:r>
      <w:r w:rsidR="0002560E" w:rsidRPr="0002560E">
        <w:tab/>
      </w:r>
      <w:r w:rsidR="0002560E" w:rsidRPr="0002560E">
        <w:tab/>
      </w:r>
      <w:r w:rsidR="0002560E" w:rsidRPr="0002560E">
        <w:tab/>
      </w:r>
      <w:r w:rsidR="0002560E" w:rsidRPr="0002560E">
        <w:tab/>
      </w:r>
      <w:r w:rsidR="0002560E" w:rsidRPr="0002560E">
        <w:tab/>
      </w:r>
      <w:r w:rsidR="0002560E" w:rsidRPr="0002560E">
        <w:tab/>
      </w:r>
      <w:r w:rsidR="0005734C">
        <w:tab/>
      </w:r>
      <w:r w:rsidR="00B65A7C">
        <w:rPr>
          <w:rFonts w:eastAsia="Times New Roman"/>
        </w:rPr>
        <w:t>&lt;redacted&gt;&lt;/redacted&gt;</w:t>
      </w:r>
      <w:bookmarkStart w:id="0" w:name="_GoBack"/>
      <w:bookmarkEnd w:id="0"/>
    </w:p>
    <w:p w14:paraId="217BD8DB" w14:textId="77777777" w:rsidR="0002560E" w:rsidRPr="0002560E" w:rsidRDefault="0002560E">
      <w:pPr>
        <w:pStyle w:val="Default"/>
        <w:spacing w:line="480" w:lineRule="auto"/>
        <w:contextualSpacing/>
      </w:pPr>
      <w:r w:rsidRPr="0002560E">
        <w:tab/>
      </w:r>
      <w:r w:rsidRPr="0002560E">
        <w:tab/>
      </w:r>
      <w:r w:rsidRPr="0002560E">
        <w:tab/>
      </w:r>
      <w:r w:rsidRPr="0002560E">
        <w:tab/>
      </w:r>
      <w:r w:rsidRPr="0002560E">
        <w:tab/>
      </w:r>
      <w:r w:rsidRPr="0002560E">
        <w:tab/>
      </w:r>
      <w:r w:rsidRPr="0002560E">
        <w:tab/>
      </w:r>
      <w:r w:rsidRPr="0002560E">
        <w:tab/>
      </w:r>
      <w:proofErr w:type="spellStart"/>
      <w:proofErr w:type="gramStart"/>
      <w:r w:rsidRPr="0002560E">
        <w:t>tel</w:t>
      </w:r>
      <w:proofErr w:type="spellEnd"/>
      <w:proofErr w:type="gramEnd"/>
      <w:r w:rsidRPr="0002560E">
        <w:t xml:space="preserve">: </w:t>
      </w:r>
      <w:r w:rsidR="00B65A7C">
        <w:rPr>
          <w:rFonts w:eastAsia="Times New Roman"/>
        </w:rPr>
        <w:t>&lt;redacted&gt;&lt;/redacted&gt;</w:t>
      </w:r>
    </w:p>
    <w:sectPr w:rsidR="0002560E" w:rsidRPr="0002560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AF85E" w14:textId="77777777" w:rsidR="00D454DD" w:rsidRDefault="00D454DD" w:rsidP="000B5B32">
      <w:pPr>
        <w:spacing w:after="0" w:line="240" w:lineRule="auto"/>
      </w:pPr>
      <w:r>
        <w:separator/>
      </w:r>
    </w:p>
  </w:endnote>
  <w:endnote w:type="continuationSeparator" w:id="0">
    <w:p w14:paraId="581ED7A7" w14:textId="77777777" w:rsidR="00D454DD" w:rsidRDefault="00D454DD" w:rsidP="000B5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C285B" w14:textId="77777777" w:rsidR="0005734C" w:rsidRDefault="0005734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988320"/>
      <w:docPartObj>
        <w:docPartGallery w:val="Page Numbers (Bottom of Page)"/>
        <w:docPartUnique/>
      </w:docPartObj>
    </w:sdtPr>
    <w:sdtEndPr>
      <w:rPr>
        <w:noProof/>
      </w:rPr>
    </w:sdtEndPr>
    <w:sdtContent>
      <w:p w14:paraId="2192AF9C" w14:textId="77777777" w:rsidR="008767D9" w:rsidRDefault="008767D9">
        <w:pPr>
          <w:pStyle w:val="Footer"/>
          <w:jc w:val="center"/>
        </w:pPr>
        <w:r>
          <w:fldChar w:fldCharType="begin"/>
        </w:r>
        <w:r>
          <w:instrText xml:space="preserve"> PAGE   \* MERGEFORMAT </w:instrText>
        </w:r>
        <w:r>
          <w:fldChar w:fldCharType="separate"/>
        </w:r>
        <w:r w:rsidR="00B65A7C">
          <w:rPr>
            <w:noProof/>
          </w:rPr>
          <w:t>14</w:t>
        </w:r>
        <w:r>
          <w:rPr>
            <w:noProof/>
          </w:rPr>
          <w:fldChar w:fldCharType="end"/>
        </w:r>
      </w:p>
    </w:sdtContent>
  </w:sdt>
  <w:p w14:paraId="1367B72F" w14:textId="77777777" w:rsidR="008767D9" w:rsidRDefault="008767D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817B0" w14:textId="77777777" w:rsidR="0005734C" w:rsidRDefault="0005734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2CA17" w14:textId="77777777" w:rsidR="00D454DD" w:rsidRDefault="00D454DD" w:rsidP="000B5B32">
      <w:pPr>
        <w:spacing w:after="0" w:line="240" w:lineRule="auto"/>
      </w:pPr>
      <w:r>
        <w:separator/>
      </w:r>
    </w:p>
  </w:footnote>
  <w:footnote w:type="continuationSeparator" w:id="0">
    <w:p w14:paraId="72712DC7" w14:textId="77777777" w:rsidR="00D454DD" w:rsidRDefault="00D454DD" w:rsidP="000B5B3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BB0C6" w14:textId="77777777" w:rsidR="0005734C" w:rsidRDefault="0005734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A6A6" w14:textId="77777777" w:rsidR="008767D9" w:rsidRPr="0059430A" w:rsidRDefault="008767D9">
    <w:pPr>
      <w:pStyle w:val="Header"/>
      <w:rPr>
        <w:rFonts w:ascii="Times New Roman" w:hAnsi="Times New Roman" w:cs="Times New Roman"/>
      </w:rPr>
    </w:pPr>
    <w:r w:rsidRPr="0059430A">
      <w:rPr>
        <w:rFonts w:ascii="Times New Roman" w:hAnsi="Times New Roman" w:cs="Times New Roman"/>
      </w:rPr>
      <w:tab/>
    </w:r>
    <w:r w:rsidRPr="0059430A">
      <w:rPr>
        <w:rFonts w:ascii="Times New Roman" w:hAnsi="Times New Roman" w:cs="Times New Roman"/>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45C50" w14:textId="77777777" w:rsidR="0005734C" w:rsidRDefault="0005734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B4032"/>
    <w:multiLevelType w:val="hybridMultilevel"/>
    <w:tmpl w:val="16B2F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5F1"/>
    <w:rsid w:val="000060F7"/>
    <w:rsid w:val="0002560E"/>
    <w:rsid w:val="00036913"/>
    <w:rsid w:val="0005734C"/>
    <w:rsid w:val="000661D8"/>
    <w:rsid w:val="00077D29"/>
    <w:rsid w:val="00084D03"/>
    <w:rsid w:val="00086B69"/>
    <w:rsid w:val="000B5B32"/>
    <w:rsid w:val="000D3321"/>
    <w:rsid w:val="000E491F"/>
    <w:rsid w:val="00122E8A"/>
    <w:rsid w:val="00136E12"/>
    <w:rsid w:val="001910F9"/>
    <w:rsid w:val="001C0DE6"/>
    <w:rsid w:val="001C55D0"/>
    <w:rsid w:val="001D4B35"/>
    <w:rsid w:val="001E002F"/>
    <w:rsid w:val="001F16E6"/>
    <w:rsid w:val="001F5AA2"/>
    <w:rsid w:val="002362E8"/>
    <w:rsid w:val="00236402"/>
    <w:rsid w:val="0025210D"/>
    <w:rsid w:val="00263323"/>
    <w:rsid w:val="002661E6"/>
    <w:rsid w:val="002A7193"/>
    <w:rsid w:val="002B6AED"/>
    <w:rsid w:val="003136F8"/>
    <w:rsid w:val="00324CC5"/>
    <w:rsid w:val="00336854"/>
    <w:rsid w:val="003451D3"/>
    <w:rsid w:val="00373C81"/>
    <w:rsid w:val="003D4F09"/>
    <w:rsid w:val="003D6427"/>
    <w:rsid w:val="003E75B9"/>
    <w:rsid w:val="003F22C9"/>
    <w:rsid w:val="004045C2"/>
    <w:rsid w:val="00456F73"/>
    <w:rsid w:val="00473953"/>
    <w:rsid w:val="00475090"/>
    <w:rsid w:val="00497D8A"/>
    <w:rsid w:val="004A4E2D"/>
    <w:rsid w:val="004B0DA9"/>
    <w:rsid w:val="004B6B89"/>
    <w:rsid w:val="004B7786"/>
    <w:rsid w:val="004C2A0E"/>
    <w:rsid w:val="004D30A1"/>
    <w:rsid w:val="004E2838"/>
    <w:rsid w:val="00506102"/>
    <w:rsid w:val="00531C8A"/>
    <w:rsid w:val="00533ECD"/>
    <w:rsid w:val="005765ED"/>
    <w:rsid w:val="00581C6F"/>
    <w:rsid w:val="0059430A"/>
    <w:rsid w:val="005B05F1"/>
    <w:rsid w:val="005D6D5A"/>
    <w:rsid w:val="00600168"/>
    <w:rsid w:val="00607D5B"/>
    <w:rsid w:val="006175E1"/>
    <w:rsid w:val="00625A2B"/>
    <w:rsid w:val="006605A0"/>
    <w:rsid w:val="0066235A"/>
    <w:rsid w:val="006B2186"/>
    <w:rsid w:val="006B78DF"/>
    <w:rsid w:val="006D49FD"/>
    <w:rsid w:val="006D6733"/>
    <w:rsid w:val="006E6D34"/>
    <w:rsid w:val="00700520"/>
    <w:rsid w:val="00711071"/>
    <w:rsid w:val="00716A02"/>
    <w:rsid w:val="007170F4"/>
    <w:rsid w:val="007349E4"/>
    <w:rsid w:val="00736C32"/>
    <w:rsid w:val="00741A63"/>
    <w:rsid w:val="00766F97"/>
    <w:rsid w:val="007A1D7B"/>
    <w:rsid w:val="007D20E8"/>
    <w:rsid w:val="008266C3"/>
    <w:rsid w:val="008767D9"/>
    <w:rsid w:val="008818C3"/>
    <w:rsid w:val="008B2937"/>
    <w:rsid w:val="008D18ED"/>
    <w:rsid w:val="008D26C5"/>
    <w:rsid w:val="00913ED5"/>
    <w:rsid w:val="0092544A"/>
    <w:rsid w:val="00934BEB"/>
    <w:rsid w:val="0094102D"/>
    <w:rsid w:val="00942E37"/>
    <w:rsid w:val="009435A7"/>
    <w:rsid w:val="009872A8"/>
    <w:rsid w:val="00996ADF"/>
    <w:rsid w:val="00A10A73"/>
    <w:rsid w:val="00A159B7"/>
    <w:rsid w:val="00A236BC"/>
    <w:rsid w:val="00A25F63"/>
    <w:rsid w:val="00A70912"/>
    <w:rsid w:val="00AE6576"/>
    <w:rsid w:val="00B139A7"/>
    <w:rsid w:val="00B1746E"/>
    <w:rsid w:val="00B22314"/>
    <w:rsid w:val="00B34580"/>
    <w:rsid w:val="00B62137"/>
    <w:rsid w:val="00B657BA"/>
    <w:rsid w:val="00B65A7C"/>
    <w:rsid w:val="00B66AE6"/>
    <w:rsid w:val="00B846A4"/>
    <w:rsid w:val="00B95280"/>
    <w:rsid w:val="00C01C83"/>
    <w:rsid w:val="00C263F4"/>
    <w:rsid w:val="00C47F1F"/>
    <w:rsid w:val="00C5755A"/>
    <w:rsid w:val="00C85E5F"/>
    <w:rsid w:val="00C960C0"/>
    <w:rsid w:val="00CA4CCC"/>
    <w:rsid w:val="00CC3DD4"/>
    <w:rsid w:val="00CE6DCB"/>
    <w:rsid w:val="00D03D62"/>
    <w:rsid w:val="00D061E5"/>
    <w:rsid w:val="00D260F3"/>
    <w:rsid w:val="00D33256"/>
    <w:rsid w:val="00D454DD"/>
    <w:rsid w:val="00D509AE"/>
    <w:rsid w:val="00D57E9A"/>
    <w:rsid w:val="00D61A04"/>
    <w:rsid w:val="00D7643E"/>
    <w:rsid w:val="00D873EA"/>
    <w:rsid w:val="00DA051E"/>
    <w:rsid w:val="00DA7E62"/>
    <w:rsid w:val="00DB0B13"/>
    <w:rsid w:val="00DB55D0"/>
    <w:rsid w:val="00DF020E"/>
    <w:rsid w:val="00E11476"/>
    <w:rsid w:val="00E40BF5"/>
    <w:rsid w:val="00E5371C"/>
    <w:rsid w:val="00E65188"/>
    <w:rsid w:val="00E7186E"/>
    <w:rsid w:val="00E7769F"/>
    <w:rsid w:val="00E907CE"/>
    <w:rsid w:val="00E92A53"/>
    <w:rsid w:val="00E94228"/>
    <w:rsid w:val="00EA5AE6"/>
    <w:rsid w:val="00EB4EE6"/>
    <w:rsid w:val="00EB5355"/>
    <w:rsid w:val="00EE2D72"/>
    <w:rsid w:val="00EE3F3C"/>
    <w:rsid w:val="00F13616"/>
    <w:rsid w:val="00F556A5"/>
    <w:rsid w:val="00F60DED"/>
    <w:rsid w:val="00F81317"/>
    <w:rsid w:val="00FA5780"/>
    <w:rsid w:val="00FB4F50"/>
    <w:rsid w:val="00FE75AA"/>
    <w:rsid w:val="00FF34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23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0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5F1"/>
    <w:rPr>
      <w:rFonts w:ascii="Tahoma" w:hAnsi="Tahoma" w:cs="Tahoma"/>
      <w:sz w:val="16"/>
      <w:szCs w:val="16"/>
    </w:rPr>
  </w:style>
  <w:style w:type="paragraph" w:customStyle="1" w:styleId="Default">
    <w:name w:val="Default"/>
    <w:rsid w:val="00700520"/>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B5B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B32"/>
  </w:style>
  <w:style w:type="paragraph" w:styleId="Footer">
    <w:name w:val="footer"/>
    <w:basedOn w:val="Normal"/>
    <w:link w:val="FooterChar"/>
    <w:uiPriority w:val="99"/>
    <w:unhideWhenUsed/>
    <w:rsid w:val="000B5B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B32"/>
  </w:style>
  <w:style w:type="character" w:styleId="Emphasis">
    <w:name w:val="Emphasis"/>
    <w:basedOn w:val="DefaultParagraphFont"/>
    <w:uiPriority w:val="20"/>
    <w:qFormat/>
    <w:rsid w:val="008D26C5"/>
    <w:rPr>
      <w:i/>
      <w:iCs/>
    </w:rPr>
  </w:style>
  <w:style w:type="character" w:customStyle="1" w:styleId="cosearchterm">
    <w:name w:val="co_searchterm"/>
    <w:basedOn w:val="DefaultParagraphFont"/>
    <w:rsid w:val="00B95280"/>
  </w:style>
  <w:style w:type="character" w:styleId="Hyperlink">
    <w:name w:val="Hyperlink"/>
    <w:basedOn w:val="DefaultParagraphFont"/>
    <w:uiPriority w:val="99"/>
    <w:semiHidden/>
    <w:unhideWhenUsed/>
    <w:rsid w:val="00B95280"/>
    <w:rPr>
      <w:color w:val="0000FF"/>
      <w:u w:val="single"/>
    </w:rPr>
  </w:style>
  <w:style w:type="character" w:customStyle="1" w:styleId="cohl">
    <w:name w:val="co_hl"/>
    <w:basedOn w:val="DefaultParagraphFont"/>
    <w:rsid w:val="00DA051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0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5F1"/>
    <w:rPr>
      <w:rFonts w:ascii="Tahoma" w:hAnsi="Tahoma" w:cs="Tahoma"/>
      <w:sz w:val="16"/>
      <w:szCs w:val="16"/>
    </w:rPr>
  </w:style>
  <w:style w:type="paragraph" w:customStyle="1" w:styleId="Default">
    <w:name w:val="Default"/>
    <w:rsid w:val="00700520"/>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B5B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B32"/>
  </w:style>
  <w:style w:type="paragraph" w:styleId="Footer">
    <w:name w:val="footer"/>
    <w:basedOn w:val="Normal"/>
    <w:link w:val="FooterChar"/>
    <w:uiPriority w:val="99"/>
    <w:unhideWhenUsed/>
    <w:rsid w:val="000B5B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B32"/>
  </w:style>
  <w:style w:type="character" w:styleId="Emphasis">
    <w:name w:val="Emphasis"/>
    <w:basedOn w:val="DefaultParagraphFont"/>
    <w:uiPriority w:val="20"/>
    <w:qFormat/>
    <w:rsid w:val="008D26C5"/>
    <w:rPr>
      <w:i/>
      <w:iCs/>
    </w:rPr>
  </w:style>
  <w:style w:type="character" w:customStyle="1" w:styleId="cosearchterm">
    <w:name w:val="co_searchterm"/>
    <w:basedOn w:val="DefaultParagraphFont"/>
    <w:rsid w:val="00B95280"/>
  </w:style>
  <w:style w:type="character" w:styleId="Hyperlink">
    <w:name w:val="Hyperlink"/>
    <w:basedOn w:val="DefaultParagraphFont"/>
    <w:uiPriority w:val="99"/>
    <w:semiHidden/>
    <w:unhideWhenUsed/>
    <w:rsid w:val="00B95280"/>
    <w:rPr>
      <w:color w:val="0000FF"/>
      <w:u w:val="single"/>
    </w:rPr>
  </w:style>
  <w:style w:type="character" w:customStyle="1" w:styleId="cohl">
    <w:name w:val="co_hl"/>
    <w:basedOn w:val="DefaultParagraphFont"/>
    <w:rsid w:val="00DA0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87982">
      <w:bodyDiv w:val="1"/>
      <w:marLeft w:val="0"/>
      <w:marRight w:val="0"/>
      <w:marTop w:val="0"/>
      <w:marBottom w:val="0"/>
      <w:divBdr>
        <w:top w:val="none" w:sz="0" w:space="0" w:color="auto"/>
        <w:left w:val="none" w:sz="0" w:space="0" w:color="auto"/>
        <w:bottom w:val="none" w:sz="0" w:space="0" w:color="auto"/>
        <w:right w:val="none" w:sz="0" w:space="0" w:color="auto"/>
      </w:divBdr>
      <w:divsChild>
        <w:div w:id="1293514260">
          <w:marLeft w:val="0"/>
          <w:marRight w:val="0"/>
          <w:marTop w:val="0"/>
          <w:marBottom w:val="0"/>
          <w:divBdr>
            <w:top w:val="none" w:sz="0" w:space="0" w:color="auto"/>
            <w:left w:val="none" w:sz="0" w:space="0" w:color="auto"/>
            <w:bottom w:val="none" w:sz="0" w:space="0" w:color="auto"/>
            <w:right w:val="none" w:sz="0" w:space="0" w:color="auto"/>
          </w:divBdr>
          <w:divsChild>
            <w:div w:id="37442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0252">
      <w:bodyDiv w:val="1"/>
      <w:marLeft w:val="0"/>
      <w:marRight w:val="0"/>
      <w:marTop w:val="0"/>
      <w:marBottom w:val="0"/>
      <w:divBdr>
        <w:top w:val="none" w:sz="0" w:space="0" w:color="auto"/>
        <w:left w:val="none" w:sz="0" w:space="0" w:color="auto"/>
        <w:bottom w:val="none" w:sz="0" w:space="0" w:color="auto"/>
        <w:right w:val="none" w:sz="0" w:space="0" w:color="auto"/>
      </w:divBdr>
      <w:divsChild>
        <w:div w:id="965964551">
          <w:marLeft w:val="0"/>
          <w:marRight w:val="0"/>
          <w:marTop w:val="0"/>
          <w:marBottom w:val="0"/>
          <w:divBdr>
            <w:top w:val="none" w:sz="0" w:space="0" w:color="auto"/>
            <w:left w:val="none" w:sz="0" w:space="0" w:color="auto"/>
            <w:bottom w:val="none" w:sz="0" w:space="0" w:color="auto"/>
            <w:right w:val="none" w:sz="0" w:space="0" w:color="auto"/>
          </w:divBdr>
          <w:divsChild>
            <w:div w:id="103573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92863">
      <w:bodyDiv w:val="1"/>
      <w:marLeft w:val="0"/>
      <w:marRight w:val="0"/>
      <w:marTop w:val="0"/>
      <w:marBottom w:val="0"/>
      <w:divBdr>
        <w:top w:val="none" w:sz="0" w:space="0" w:color="auto"/>
        <w:left w:val="none" w:sz="0" w:space="0" w:color="auto"/>
        <w:bottom w:val="none" w:sz="0" w:space="0" w:color="auto"/>
        <w:right w:val="none" w:sz="0" w:space="0" w:color="auto"/>
      </w:divBdr>
    </w:div>
    <w:div w:id="530923677">
      <w:bodyDiv w:val="1"/>
      <w:marLeft w:val="0"/>
      <w:marRight w:val="0"/>
      <w:marTop w:val="0"/>
      <w:marBottom w:val="0"/>
      <w:divBdr>
        <w:top w:val="none" w:sz="0" w:space="0" w:color="auto"/>
        <w:left w:val="none" w:sz="0" w:space="0" w:color="auto"/>
        <w:bottom w:val="none" w:sz="0" w:space="0" w:color="auto"/>
        <w:right w:val="none" w:sz="0" w:space="0" w:color="auto"/>
      </w:divBdr>
      <w:divsChild>
        <w:div w:id="772893631">
          <w:marLeft w:val="0"/>
          <w:marRight w:val="0"/>
          <w:marTop w:val="0"/>
          <w:marBottom w:val="0"/>
          <w:divBdr>
            <w:top w:val="none" w:sz="0" w:space="0" w:color="auto"/>
            <w:left w:val="none" w:sz="0" w:space="0" w:color="auto"/>
            <w:bottom w:val="none" w:sz="0" w:space="0" w:color="auto"/>
            <w:right w:val="none" w:sz="0" w:space="0" w:color="auto"/>
          </w:divBdr>
          <w:divsChild>
            <w:div w:id="63537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90264">
      <w:bodyDiv w:val="1"/>
      <w:marLeft w:val="0"/>
      <w:marRight w:val="0"/>
      <w:marTop w:val="0"/>
      <w:marBottom w:val="0"/>
      <w:divBdr>
        <w:top w:val="none" w:sz="0" w:space="0" w:color="auto"/>
        <w:left w:val="none" w:sz="0" w:space="0" w:color="auto"/>
        <w:bottom w:val="none" w:sz="0" w:space="0" w:color="auto"/>
        <w:right w:val="none" w:sz="0" w:space="0" w:color="auto"/>
      </w:divBdr>
      <w:divsChild>
        <w:div w:id="1932005665">
          <w:marLeft w:val="0"/>
          <w:marRight w:val="0"/>
          <w:marTop w:val="0"/>
          <w:marBottom w:val="0"/>
          <w:divBdr>
            <w:top w:val="none" w:sz="0" w:space="0" w:color="auto"/>
            <w:left w:val="none" w:sz="0" w:space="0" w:color="auto"/>
            <w:bottom w:val="none" w:sz="0" w:space="0" w:color="auto"/>
            <w:right w:val="none" w:sz="0" w:space="0" w:color="auto"/>
          </w:divBdr>
          <w:divsChild>
            <w:div w:id="59598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969920">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0">
          <w:marLeft w:val="0"/>
          <w:marRight w:val="0"/>
          <w:marTop w:val="0"/>
          <w:marBottom w:val="0"/>
          <w:divBdr>
            <w:top w:val="none" w:sz="0" w:space="0" w:color="auto"/>
            <w:left w:val="none" w:sz="0" w:space="0" w:color="auto"/>
            <w:bottom w:val="none" w:sz="0" w:space="0" w:color="auto"/>
            <w:right w:val="none" w:sz="0" w:space="0" w:color="auto"/>
          </w:divBdr>
          <w:divsChild>
            <w:div w:id="178330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033560">
      <w:bodyDiv w:val="1"/>
      <w:marLeft w:val="0"/>
      <w:marRight w:val="0"/>
      <w:marTop w:val="0"/>
      <w:marBottom w:val="0"/>
      <w:divBdr>
        <w:top w:val="none" w:sz="0" w:space="0" w:color="auto"/>
        <w:left w:val="none" w:sz="0" w:space="0" w:color="auto"/>
        <w:bottom w:val="none" w:sz="0" w:space="0" w:color="auto"/>
        <w:right w:val="none" w:sz="0" w:space="0" w:color="auto"/>
      </w:divBdr>
      <w:divsChild>
        <w:div w:id="472645983">
          <w:marLeft w:val="0"/>
          <w:marRight w:val="0"/>
          <w:marTop w:val="0"/>
          <w:marBottom w:val="0"/>
          <w:divBdr>
            <w:top w:val="none" w:sz="0" w:space="0" w:color="auto"/>
            <w:left w:val="none" w:sz="0" w:space="0" w:color="auto"/>
            <w:bottom w:val="none" w:sz="0" w:space="0" w:color="auto"/>
            <w:right w:val="none" w:sz="0" w:space="0" w:color="auto"/>
          </w:divBdr>
          <w:divsChild>
            <w:div w:id="197613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4405">
      <w:bodyDiv w:val="1"/>
      <w:marLeft w:val="0"/>
      <w:marRight w:val="0"/>
      <w:marTop w:val="0"/>
      <w:marBottom w:val="0"/>
      <w:divBdr>
        <w:top w:val="none" w:sz="0" w:space="0" w:color="auto"/>
        <w:left w:val="none" w:sz="0" w:space="0" w:color="auto"/>
        <w:bottom w:val="none" w:sz="0" w:space="0" w:color="auto"/>
        <w:right w:val="none" w:sz="0" w:space="0" w:color="auto"/>
      </w:divBdr>
      <w:divsChild>
        <w:div w:id="1989943630">
          <w:marLeft w:val="0"/>
          <w:marRight w:val="0"/>
          <w:marTop w:val="0"/>
          <w:marBottom w:val="0"/>
          <w:divBdr>
            <w:top w:val="none" w:sz="0" w:space="0" w:color="auto"/>
            <w:left w:val="none" w:sz="0" w:space="0" w:color="auto"/>
            <w:bottom w:val="none" w:sz="0" w:space="0" w:color="auto"/>
            <w:right w:val="none" w:sz="0" w:space="0" w:color="auto"/>
          </w:divBdr>
          <w:divsChild>
            <w:div w:id="135190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08986">
      <w:bodyDiv w:val="1"/>
      <w:marLeft w:val="0"/>
      <w:marRight w:val="0"/>
      <w:marTop w:val="0"/>
      <w:marBottom w:val="0"/>
      <w:divBdr>
        <w:top w:val="none" w:sz="0" w:space="0" w:color="auto"/>
        <w:left w:val="none" w:sz="0" w:space="0" w:color="auto"/>
        <w:bottom w:val="none" w:sz="0" w:space="0" w:color="auto"/>
        <w:right w:val="none" w:sz="0" w:space="0" w:color="auto"/>
      </w:divBdr>
      <w:divsChild>
        <w:div w:id="481124501">
          <w:marLeft w:val="0"/>
          <w:marRight w:val="0"/>
          <w:marTop w:val="0"/>
          <w:marBottom w:val="0"/>
          <w:divBdr>
            <w:top w:val="none" w:sz="0" w:space="0" w:color="auto"/>
            <w:left w:val="none" w:sz="0" w:space="0" w:color="auto"/>
            <w:bottom w:val="none" w:sz="0" w:space="0" w:color="auto"/>
            <w:right w:val="none" w:sz="0" w:space="0" w:color="auto"/>
          </w:divBdr>
          <w:divsChild>
            <w:div w:id="127490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3952">
      <w:bodyDiv w:val="1"/>
      <w:marLeft w:val="0"/>
      <w:marRight w:val="0"/>
      <w:marTop w:val="0"/>
      <w:marBottom w:val="0"/>
      <w:divBdr>
        <w:top w:val="none" w:sz="0" w:space="0" w:color="auto"/>
        <w:left w:val="none" w:sz="0" w:space="0" w:color="auto"/>
        <w:bottom w:val="none" w:sz="0" w:space="0" w:color="auto"/>
        <w:right w:val="none" w:sz="0" w:space="0" w:color="auto"/>
      </w:divBdr>
      <w:divsChild>
        <w:div w:id="2101438717">
          <w:marLeft w:val="0"/>
          <w:marRight w:val="0"/>
          <w:marTop w:val="0"/>
          <w:marBottom w:val="0"/>
          <w:divBdr>
            <w:top w:val="none" w:sz="0" w:space="0" w:color="auto"/>
            <w:left w:val="none" w:sz="0" w:space="0" w:color="auto"/>
            <w:bottom w:val="none" w:sz="0" w:space="0" w:color="auto"/>
            <w:right w:val="none" w:sz="0" w:space="0" w:color="auto"/>
          </w:divBdr>
          <w:divsChild>
            <w:div w:id="195817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08132">
      <w:bodyDiv w:val="1"/>
      <w:marLeft w:val="0"/>
      <w:marRight w:val="0"/>
      <w:marTop w:val="0"/>
      <w:marBottom w:val="0"/>
      <w:divBdr>
        <w:top w:val="none" w:sz="0" w:space="0" w:color="auto"/>
        <w:left w:val="none" w:sz="0" w:space="0" w:color="auto"/>
        <w:bottom w:val="none" w:sz="0" w:space="0" w:color="auto"/>
        <w:right w:val="none" w:sz="0" w:space="0" w:color="auto"/>
      </w:divBdr>
      <w:divsChild>
        <w:div w:id="2087528050">
          <w:marLeft w:val="0"/>
          <w:marRight w:val="0"/>
          <w:marTop w:val="0"/>
          <w:marBottom w:val="0"/>
          <w:divBdr>
            <w:top w:val="none" w:sz="0" w:space="0" w:color="auto"/>
            <w:left w:val="none" w:sz="0" w:space="0" w:color="auto"/>
            <w:bottom w:val="none" w:sz="0" w:space="0" w:color="auto"/>
            <w:right w:val="none" w:sz="0" w:space="0" w:color="auto"/>
          </w:divBdr>
          <w:divsChild>
            <w:div w:id="100775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10236">
      <w:bodyDiv w:val="1"/>
      <w:marLeft w:val="0"/>
      <w:marRight w:val="0"/>
      <w:marTop w:val="0"/>
      <w:marBottom w:val="0"/>
      <w:divBdr>
        <w:top w:val="none" w:sz="0" w:space="0" w:color="auto"/>
        <w:left w:val="none" w:sz="0" w:space="0" w:color="auto"/>
        <w:bottom w:val="none" w:sz="0" w:space="0" w:color="auto"/>
        <w:right w:val="none" w:sz="0" w:space="0" w:color="auto"/>
      </w:divBdr>
      <w:divsChild>
        <w:div w:id="1463498962">
          <w:marLeft w:val="0"/>
          <w:marRight w:val="0"/>
          <w:marTop w:val="0"/>
          <w:marBottom w:val="0"/>
          <w:divBdr>
            <w:top w:val="none" w:sz="0" w:space="0" w:color="auto"/>
            <w:left w:val="none" w:sz="0" w:space="0" w:color="auto"/>
            <w:bottom w:val="none" w:sz="0" w:space="0" w:color="auto"/>
            <w:right w:val="none" w:sz="0" w:space="0" w:color="auto"/>
          </w:divBdr>
          <w:divsChild>
            <w:div w:id="99125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73556">
      <w:bodyDiv w:val="1"/>
      <w:marLeft w:val="0"/>
      <w:marRight w:val="0"/>
      <w:marTop w:val="0"/>
      <w:marBottom w:val="0"/>
      <w:divBdr>
        <w:top w:val="none" w:sz="0" w:space="0" w:color="auto"/>
        <w:left w:val="none" w:sz="0" w:space="0" w:color="auto"/>
        <w:bottom w:val="none" w:sz="0" w:space="0" w:color="auto"/>
        <w:right w:val="none" w:sz="0" w:space="0" w:color="auto"/>
      </w:divBdr>
      <w:divsChild>
        <w:div w:id="731780527">
          <w:marLeft w:val="0"/>
          <w:marRight w:val="0"/>
          <w:marTop w:val="0"/>
          <w:marBottom w:val="0"/>
          <w:divBdr>
            <w:top w:val="none" w:sz="0" w:space="0" w:color="auto"/>
            <w:left w:val="none" w:sz="0" w:space="0" w:color="auto"/>
            <w:bottom w:val="none" w:sz="0" w:space="0" w:color="auto"/>
            <w:right w:val="none" w:sz="0" w:space="0" w:color="auto"/>
          </w:divBdr>
          <w:divsChild>
            <w:div w:id="134355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14535">
      <w:bodyDiv w:val="1"/>
      <w:marLeft w:val="0"/>
      <w:marRight w:val="0"/>
      <w:marTop w:val="0"/>
      <w:marBottom w:val="0"/>
      <w:divBdr>
        <w:top w:val="none" w:sz="0" w:space="0" w:color="auto"/>
        <w:left w:val="none" w:sz="0" w:space="0" w:color="auto"/>
        <w:bottom w:val="none" w:sz="0" w:space="0" w:color="auto"/>
        <w:right w:val="none" w:sz="0" w:space="0" w:color="auto"/>
      </w:divBdr>
      <w:divsChild>
        <w:div w:id="1595627999">
          <w:marLeft w:val="0"/>
          <w:marRight w:val="0"/>
          <w:marTop w:val="0"/>
          <w:marBottom w:val="0"/>
          <w:divBdr>
            <w:top w:val="none" w:sz="0" w:space="0" w:color="auto"/>
            <w:left w:val="none" w:sz="0" w:space="0" w:color="auto"/>
            <w:bottom w:val="none" w:sz="0" w:space="0" w:color="auto"/>
            <w:right w:val="none" w:sz="0" w:space="0" w:color="auto"/>
          </w:divBdr>
          <w:divsChild>
            <w:div w:id="32224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08573">
      <w:bodyDiv w:val="1"/>
      <w:marLeft w:val="0"/>
      <w:marRight w:val="0"/>
      <w:marTop w:val="0"/>
      <w:marBottom w:val="0"/>
      <w:divBdr>
        <w:top w:val="none" w:sz="0" w:space="0" w:color="auto"/>
        <w:left w:val="none" w:sz="0" w:space="0" w:color="auto"/>
        <w:bottom w:val="none" w:sz="0" w:space="0" w:color="auto"/>
        <w:right w:val="none" w:sz="0" w:space="0" w:color="auto"/>
      </w:divBdr>
      <w:divsChild>
        <w:div w:id="158810280">
          <w:marLeft w:val="0"/>
          <w:marRight w:val="0"/>
          <w:marTop w:val="0"/>
          <w:marBottom w:val="0"/>
          <w:divBdr>
            <w:top w:val="none" w:sz="0" w:space="0" w:color="auto"/>
            <w:left w:val="none" w:sz="0" w:space="0" w:color="auto"/>
            <w:bottom w:val="none" w:sz="0" w:space="0" w:color="auto"/>
            <w:right w:val="none" w:sz="0" w:space="0" w:color="auto"/>
          </w:divBdr>
          <w:divsChild>
            <w:div w:id="128557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1.next.westlaw.com/Link/Document/FullText?findType=Y&amp;serNum=1982153176&amp;pubNum=350&amp;originationContext=document&amp;transitionType=DocumentItem&amp;contextData=%28sc.DocLink%29"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L&amp;pubNum=1000546&amp;cite=17USCAS203&amp;originationContext=document&amp;transitionType=DocumentItem&amp;contextData=%28sc.Folder*cid.e7c8c1d6e4ab47fb89de2516ae03f10a*oc.DocLink%29" TargetMode="External"/><Relationship Id="rId10" Type="http://schemas.openxmlformats.org/officeDocument/2006/relationships/hyperlink" Target="https://1.next.westlaw.com/Link/Document/FullText?findType=Y&amp;pubNum=0100014&amp;cite=HRREP51-374&amp;originationContext=document&amp;transitionType=DocumentItem&amp;contextData=%28sc.Search%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B8F8-973A-974A-93DB-B5973A1E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4106</Words>
  <Characters>20617</Characters>
  <Application>Microsoft Macintosh Word</Application>
  <DocSecurity>0</DocSecurity>
  <Lines>317</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2012-03-21T00:14:00Z</cp:lastPrinted>
  <dcterms:created xsi:type="dcterms:W3CDTF">2012-04-15T14:01:00Z</dcterms:created>
  <dcterms:modified xsi:type="dcterms:W3CDTF">2012-06-02T13:11:00Z</dcterms:modified>
  <cp:category/>
</cp:coreProperties>
</file>